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F53C6" w14:textId="77777777" w:rsidR="00D03D2A" w:rsidRDefault="00D03D2A" w:rsidP="00E0747C">
      <w:pPr>
        <w:jc w:val="center"/>
        <w:rPr>
          <w:rFonts w:ascii="Segoe UI Semibold" w:hAnsi="Segoe UI Semibold" w:cs="Segoe UI Semibold"/>
          <w:caps/>
          <w:sz w:val="24"/>
          <w:szCs w:val="24"/>
        </w:rPr>
      </w:pPr>
      <w:bookmarkStart w:id="0" w:name="_Toc387031972"/>
      <w:bookmarkStart w:id="1" w:name="_Toc520801461"/>
      <w:bookmarkStart w:id="2" w:name="_Toc520801550"/>
      <w:bookmarkStart w:id="3" w:name="_Toc520801700"/>
      <w:bookmarkStart w:id="4" w:name="_Toc384720856"/>
      <w:r>
        <w:rPr>
          <w:rFonts w:ascii="Segoe UI Semibold" w:hAnsi="Segoe UI Semibold" w:cs="Segoe UI Semibold"/>
          <w:caps/>
          <w:sz w:val="24"/>
          <w:szCs w:val="24"/>
        </w:rPr>
        <w:t>SMART Global Holdings, Inc.</w:t>
      </w:r>
    </w:p>
    <w:p w14:paraId="2F3D855C" w14:textId="77777777" w:rsidR="00E0747C" w:rsidRPr="009C0394" w:rsidRDefault="00E0747C" w:rsidP="00E0747C">
      <w:pPr>
        <w:jc w:val="center"/>
        <w:rPr>
          <w:rFonts w:ascii="Segoe UI Semibold" w:hAnsi="Segoe UI Semibold" w:cs="Segoe UI Semibold"/>
          <w:caps/>
          <w:sz w:val="24"/>
          <w:szCs w:val="24"/>
        </w:rPr>
      </w:pPr>
      <w:r w:rsidRPr="009C0394">
        <w:rPr>
          <w:rFonts w:ascii="Segoe UI Semibold" w:hAnsi="Segoe UI Semibold" w:cs="Segoe UI Semibold"/>
          <w:caps/>
          <w:sz w:val="24"/>
          <w:szCs w:val="24"/>
        </w:rPr>
        <w:t>director and officer</w:t>
      </w:r>
      <w:r w:rsidR="00F60287">
        <w:rPr>
          <w:rFonts w:ascii="Segoe UI Semibold" w:hAnsi="Segoe UI Semibold" w:cs="Segoe UI Semibold"/>
          <w:caps/>
          <w:sz w:val="24"/>
          <w:szCs w:val="24"/>
        </w:rPr>
        <w:t xml:space="preserve"> </w:t>
      </w:r>
      <w:r w:rsidRPr="009C0394">
        <w:rPr>
          <w:rFonts w:ascii="Segoe UI Semibold" w:hAnsi="Segoe UI Semibold" w:cs="Segoe UI Semibold"/>
          <w:caps/>
          <w:sz w:val="24"/>
          <w:szCs w:val="24"/>
        </w:rPr>
        <w:t>share ownership retention policy</w:t>
      </w:r>
    </w:p>
    <w:p w14:paraId="6631D743" w14:textId="77777777" w:rsidR="00E0747C" w:rsidRPr="00804D1C" w:rsidRDefault="00E0747C" w:rsidP="00E0747C">
      <w:pPr>
        <w:pStyle w:val="body"/>
        <w:rPr>
          <w:rFonts w:ascii="Segoe UI" w:hAnsi="Segoe UI" w:cs="Segoe UI"/>
          <w:sz w:val="24"/>
          <w:szCs w:val="24"/>
        </w:rPr>
      </w:pPr>
    </w:p>
    <w:p w14:paraId="211C1210" w14:textId="77777777" w:rsidR="00E0747C" w:rsidRPr="00804D1C" w:rsidRDefault="00E0747C" w:rsidP="00E0747C">
      <w:pPr>
        <w:pStyle w:val="body"/>
        <w:rPr>
          <w:rFonts w:ascii="Segoe UI" w:hAnsi="Segoe UI" w:cs="Segoe UI"/>
          <w:sz w:val="24"/>
          <w:szCs w:val="24"/>
        </w:rPr>
      </w:pPr>
    </w:p>
    <w:p w14:paraId="4CEDB8CB" w14:textId="77777777" w:rsidR="00E0747C" w:rsidRPr="00804D1C" w:rsidRDefault="00E0747C" w:rsidP="00E0747C">
      <w:pPr>
        <w:rPr>
          <w:rFonts w:ascii="Segoe UI" w:hAnsi="Segoe UI" w:cs="Segoe UI"/>
          <w:sz w:val="24"/>
          <w:szCs w:val="24"/>
        </w:rPr>
      </w:pPr>
      <w:r w:rsidRPr="00630B51">
        <w:rPr>
          <w:rFonts w:ascii="Segoe UI" w:hAnsi="Segoe UI" w:cs="Segoe UI"/>
          <w:sz w:val="24"/>
          <w:szCs w:val="24"/>
        </w:rPr>
        <w:t>The Board of Directors (the “</w:t>
      </w:r>
      <w:r w:rsidRPr="009C0394">
        <w:rPr>
          <w:rFonts w:ascii="Segoe UI Semibold" w:hAnsi="Segoe UI Semibold" w:cs="Segoe UI Semibold"/>
          <w:sz w:val="24"/>
          <w:szCs w:val="24"/>
        </w:rPr>
        <w:t>Board</w:t>
      </w:r>
      <w:r w:rsidRPr="00630B51">
        <w:rPr>
          <w:rFonts w:ascii="Segoe UI" w:hAnsi="Segoe UI" w:cs="Segoe UI"/>
          <w:sz w:val="24"/>
          <w:szCs w:val="24"/>
        </w:rPr>
        <w:t>”) of</w:t>
      </w:r>
      <w:r>
        <w:rPr>
          <w:rFonts w:ascii="Segoe UI" w:hAnsi="Segoe UI" w:cs="Segoe UI"/>
          <w:sz w:val="24"/>
          <w:szCs w:val="24"/>
        </w:rPr>
        <w:t xml:space="preserve"> SMART Global Holdings, Inc. (</w:t>
      </w:r>
      <w:r w:rsidRPr="00630B51">
        <w:rPr>
          <w:rFonts w:ascii="Segoe UI" w:hAnsi="Segoe UI" w:cs="Segoe UI"/>
          <w:sz w:val="24"/>
          <w:szCs w:val="24"/>
        </w:rPr>
        <w:t>“</w:t>
      </w:r>
      <w:r w:rsidRPr="009C0394">
        <w:rPr>
          <w:rFonts w:ascii="Segoe UI Semibold" w:hAnsi="Segoe UI Semibold" w:cs="Segoe UI Semibold"/>
          <w:sz w:val="24"/>
          <w:szCs w:val="24"/>
        </w:rPr>
        <w:t>SGH</w:t>
      </w:r>
      <w:r w:rsidRPr="00630B51">
        <w:rPr>
          <w:rFonts w:ascii="Segoe UI" w:hAnsi="Segoe UI" w:cs="Segoe UI"/>
          <w:sz w:val="24"/>
          <w:szCs w:val="24"/>
        </w:rPr>
        <w:t xml:space="preserve">”) has adopted guidelines requiring the </w:t>
      </w:r>
      <w:r>
        <w:rPr>
          <w:rFonts w:ascii="Segoe UI" w:hAnsi="Segoe UI" w:cs="Segoe UI"/>
          <w:sz w:val="24"/>
          <w:szCs w:val="24"/>
        </w:rPr>
        <w:t>SGH’s</w:t>
      </w:r>
      <w:r w:rsidRPr="00630B51">
        <w:rPr>
          <w:rFonts w:ascii="Segoe UI" w:hAnsi="Segoe UI" w:cs="Segoe UI"/>
          <w:sz w:val="24"/>
          <w:szCs w:val="24"/>
        </w:rPr>
        <w:t xml:space="preserve"> directors and executive officers to acquire and retain long-term ownership of </w:t>
      </w:r>
      <w:r>
        <w:rPr>
          <w:rFonts w:ascii="Segoe UI" w:hAnsi="Segoe UI" w:cs="Segoe UI"/>
          <w:sz w:val="24"/>
          <w:szCs w:val="24"/>
        </w:rPr>
        <w:t>SGH equity</w:t>
      </w:r>
      <w:r w:rsidRPr="00630B51">
        <w:rPr>
          <w:rFonts w:ascii="Segoe UI" w:hAnsi="Segoe UI" w:cs="Segoe UI"/>
          <w:sz w:val="24"/>
          <w:szCs w:val="24"/>
        </w:rPr>
        <w:t xml:space="preserve"> in order to further align their personal financial interests with the long-term interests of the </w:t>
      </w:r>
      <w:r>
        <w:rPr>
          <w:rFonts w:ascii="Segoe UI" w:hAnsi="Segoe UI" w:cs="Segoe UI"/>
          <w:sz w:val="24"/>
          <w:szCs w:val="24"/>
        </w:rPr>
        <w:t>SGH’s</w:t>
      </w:r>
      <w:r w:rsidRPr="00630B51">
        <w:rPr>
          <w:rFonts w:ascii="Segoe UI" w:hAnsi="Segoe UI" w:cs="Segoe UI"/>
          <w:sz w:val="24"/>
          <w:szCs w:val="24"/>
        </w:rPr>
        <w:t xml:space="preserve"> shareholders. To further this goal, the Board has adopted this Director and Officer Share Ownership R</w:t>
      </w:r>
      <w:r>
        <w:rPr>
          <w:rFonts w:ascii="Segoe UI" w:hAnsi="Segoe UI" w:cs="Segoe UI"/>
          <w:sz w:val="24"/>
          <w:szCs w:val="24"/>
        </w:rPr>
        <w:t>etention Policy (the “</w:t>
      </w:r>
      <w:r w:rsidRPr="009C0394">
        <w:rPr>
          <w:rFonts w:ascii="Segoe UI Semibold" w:hAnsi="Segoe UI Semibold" w:cs="Segoe UI Semibold"/>
          <w:sz w:val="24"/>
          <w:szCs w:val="24"/>
        </w:rPr>
        <w:t>Policy</w:t>
      </w:r>
      <w:r>
        <w:rPr>
          <w:rFonts w:ascii="Segoe UI" w:hAnsi="Segoe UI" w:cs="Segoe UI"/>
          <w:sz w:val="24"/>
          <w:szCs w:val="24"/>
        </w:rPr>
        <w:t>”).</w:t>
      </w:r>
    </w:p>
    <w:p w14:paraId="56D71A70" w14:textId="77777777" w:rsidR="00E0747C" w:rsidRPr="00804D1C" w:rsidRDefault="00E0747C" w:rsidP="00E0747C">
      <w:pPr>
        <w:pStyle w:val="Heading1"/>
        <w:rPr>
          <w:rFonts w:ascii="Segoe UI" w:hAnsi="Segoe UI" w:cs="Segoe UI"/>
          <w:b w:val="0"/>
          <w:szCs w:val="24"/>
        </w:rPr>
      </w:pPr>
      <w:r w:rsidRPr="00804D1C">
        <w:rPr>
          <w:rFonts w:ascii="Segoe UI" w:hAnsi="Segoe UI" w:cs="Segoe UI"/>
          <w:b w:val="0"/>
          <w:szCs w:val="24"/>
        </w:rPr>
        <w:t>application</w:t>
      </w:r>
      <w:bookmarkEnd w:id="0"/>
      <w:bookmarkEnd w:id="1"/>
      <w:bookmarkEnd w:id="2"/>
      <w:bookmarkEnd w:id="3"/>
      <w:bookmarkEnd w:id="4"/>
    </w:p>
    <w:p w14:paraId="151E1A99" w14:textId="77777777" w:rsidR="00E0747C" w:rsidRPr="00804D1C" w:rsidRDefault="00E0747C" w:rsidP="00E0747C">
      <w:pPr>
        <w:pStyle w:val="BodyTextIndent3"/>
        <w:rPr>
          <w:rFonts w:ascii="Segoe UI" w:hAnsi="Segoe UI" w:cs="Segoe UI"/>
          <w:szCs w:val="24"/>
        </w:rPr>
      </w:pPr>
    </w:p>
    <w:p w14:paraId="3EEF263D" w14:textId="77777777" w:rsidR="00E0747C" w:rsidRPr="00630B51" w:rsidRDefault="00E0747C" w:rsidP="00E0747C">
      <w:pPr>
        <w:ind w:left="720"/>
        <w:rPr>
          <w:rFonts w:ascii="Segoe UI" w:hAnsi="Segoe UI" w:cs="Segoe UI"/>
          <w:sz w:val="24"/>
          <w:szCs w:val="24"/>
        </w:rPr>
      </w:pPr>
      <w:r>
        <w:rPr>
          <w:rFonts w:ascii="Segoe UI" w:hAnsi="Segoe UI" w:cs="Segoe UI"/>
          <w:sz w:val="24"/>
          <w:szCs w:val="24"/>
        </w:rPr>
        <w:t xml:space="preserve">1.1 </w:t>
      </w:r>
      <w:r>
        <w:rPr>
          <w:rFonts w:ascii="Segoe UI" w:hAnsi="Segoe UI" w:cs="Segoe UI"/>
          <w:sz w:val="24"/>
          <w:szCs w:val="24"/>
        </w:rPr>
        <w:tab/>
      </w:r>
      <w:r w:rsidRPr="00630B51">
        <w:rPr>
          <w:rFonts w:ascii="Segoe UI" w:hAnsi="Segoe UI" w:cs="Segoe UI"/>
          <w:sz w:val="24"/>
          <w:szCs w:val="24"/>
          <w:u w:val="single"/>
        </w:rPr>
        <w:t>Covered Individuals</w:t>
      </w:r>
      <w:r>
        <w:rPr>
          <w:rFonts w:ascii="Segoe UI" w:hAnsi="Segoe UI" w:cs="Segoe UI"/>
          <w:sz w:val="24"/>
          <w:szCs w:val="24"/>
        </w:rPr>
        <w:t xml:space="preserve">.  </w:t>
      </w:r>
      <w:r w:rsidRPr="00630B51">
        <w:rPr>
          <w:rFonts w:ascii="Segoe UI" w:hAnsi="Segoe UI" w:cs="Segoe UI"/>
          <w:sz w:val="24"/>
          <w:szCs w:val="24"/>
        </w:rPr>
        <w:t xml:space="preserve">This Policy applies to each (i) independent director who participants in </w:t>
      </w:r>
      <w:r>
        <w:rPr>
          <w:rFonts w:ascii="Segoe UI" w:hAnsi="Segoe UI" w:cs="Segoe UI"/>
          <w:sz w:val="24"/>
          <w:szCs w:val="24"/>
        </w:rPr>
        <w:t>SGH</w:t>
      </w:r>
      <w:r w:rsidRPr="00630B51">
        <w:rPr>
          <w:rFonts w:ascii="Segoe UI" w:hAnsi="Segoe UI" w:cs="Segoe UI"/>
          <w:sz w:val="24"/>
          <w:szCs w:val="24"/>
        </w:rPr>
        <w:t>’s non-employee director compensation program (each, a “</w:t>
      </w:r>
      <w:r w:rsidRPr="009C0394">
        <w:rPr>
          <w:rFonts w:ascii="Segoe UI Semibold" w:hAnsi="Segoe UI Semibold" w:cs="Segoe UI Semibold"/>
          <w:sz w:val="24"/>
          <w:szCs w:val="24"/>
        </w:rPr>
        <w:t>Covered Director</w:t>
      </w:r>
      <w:r w:rsidRPr="00630B51">
        <w:rPr>
          <w:rFonts w:ascii="Segoe UI" w:hAnsi="Segoe UI" w:cs="Segoe UI"/>
          <w:sz w:val="24"/>
          <w:szCs w:val="24"/>
        </w:rPr>
        <w:t>”) and (ii) each person who is an executive officer subject to Section 16 of the Securities Exchange Act o</w:t>
      </w:r>
      <w:bookmarkStart w:id="5" w:name="_GoBack"/>
      <w:bookmarkEnd w:id="5"/>
      <w:r w:rsidRPr="00630B51">
        <w:rPr>
          <w:rFonts w:ascii="Segoe UI" w:hAnsi="Segoe UI" w:cs="Segoe UI"/>
          <w:sz w:val="24"/>
          <w:szCs w:val="24"/>
        </w:rPr>
        <w:t xml:space="preserve">f 1934, as amended, as from time to time determined by </w:t>
      </w:r>
      <w:r>
        <w:rPr>
          <w:rFonts w:ascii="Segoe UI" w:hAnsi="Segoe UI" w:cs="Segoe UI"/>
          <w:sz w:val="24"/>
          <w:szCs w:val="24"/>
        </w:rPr>
        <w:t>SGH</w:t>
      </w:r>
      <w:r w:rsidRPr="00630B51">
        <w:rPr>
          <w:rFonts w:ascii="Segoe UI" w:hAnsi="Segoe UI" w:cs="Segoe UI"/>
          <w:sz w:val="24"/>
          <w:szCs w:val="24"/>
        </w:rPr>
        <w:t xml:space="preserve"> (each, a “</w:t>
      </w:r>
      <w:r w:rsidRPr="009C0394">
        <w:rPr>
          <w:rFonts w:ascii="Segoe UI Semibold" w:hAnsi="Segoe UI Semibold" w:cs="Segoe UI Semibold"/>
          <w:sz w:val="24"/>
          <w:szCs w:val="24"/>
        </w:rPr>
        <w:t>Covered Executive</w:t>
      </w:r>
      <w:r w:rsidRPr="00630B51">
        <w:rPr>
          <w:rFonts w:ascii="Segoe UI" w:hAnsi="Segoe UI" w:cs="Segoe UI"/>
          <w:sz w:val="24"/>
          <w:szCs w:val="24"/>
        </w:rPr>
        <w:t>” and, together with the Covered Directors, “</w:t>
      </w:r>
      <w:r w:rsidRPr="009C0394">
        <w:rPr>
          <w:rFonts w:ascii="Segoe UI Semibold" w:hAnsi="Segoe UI Semibold" w:cs="Segoe UI Semibold"/>
          <w:sz w:val="24"/>
          <w:szCs w:val="24"/>
        </w:rPr>
        <w:t>Covered Individuals</w:t>
      </w:r>
      <w:r w:rsidRPr="00630B51">
        <w:rPr>
          <w:rFonts w:ascii="Segoe UI" w:hAnsi="Segoe UI" w:cs="Segoe UI"/>
          <w:sz w:val="24"/>
          <w:szCs w:val="24"/>
        </w:rPr>
        <w:t>”).</w:t>
      </w:r>
    </w:p>
    <w:p w14:paraId="779AD703" w14:textId="77777777" w:rsidR="00E0747C" w:rsidRDefault="00E0747C" w:rsidP="00E0747C">
      <w:pPr>
        <w:ind w:firstLine="720"/>
        <w:rPr>
          <w:rFonts w:ascii="Segoe UI" w:hAnsi="Segoe UI" w:cs="Segoe UI"/>
          <w:sz w:val="24"/>
          <w:szCs w:val="24"/>
          <w:u w:val="single"/>
        </w:rPr>
      </w:pPr>
    </w:p>
    <w:p w14:paraId="0A377AAA" w14:textId="77777777" w:rsidR="00E0747C" w:rsidRDefault="00E0747C" w:rsidP="00E0747C">
      <w:pPr>
        <w:ind w:left="720"/>
        <w:rPr>
          <w:rFonts w:ascii="Segoe UI" w:hAnsi="Segoe UI" w:cs="Segoe UI"/>
          <w:sz w:val="24"/>
          <w:szCs w:val="24"/>
        </w:rPr>
      </w:pPr>
      <w:r w:rsidRPr="00630B51">
        <w:rPr>
          <w:rFonts w:ascii="Segoe UI" w:hAnsi="Segoe UI" w:cs="Segoe UI"/>
          <w:sz w:val="24"/>
          <w:szCs w:val="24"/>
        </w:rPr>
        <w:t>1.2</w:t>
      </w:r>
      <w:r w:rsidRPr="00630B51">
        <w:rPr>
          <w:rFonts w:ascii="Segoe UI" w:hAnsi="Segoe UI" w:cs="Segoe UI"/>
          <w:sz w:val="24"/>
          <w:szCs w:val="24"/>
        </w:rPr>
        <w:tab/>
      </w:r>
      <w:r>
        <w:rPr>
          <w:rFonts w:ascii="Segoe UI" w:hAnsi="Segoe UI" w:cs="Segoe UI"/>
          <w:sz w:val="24"/>
          <w:szCs w:val="24"/>
          <w:u w:val="single"/>
        </w:rPr>
        <w:t>Covered Awards</w:t>
      </w:r>
      <w:r>
        <w:rPr>
          <w:rFonts w:ascii="Segoe UI" w:hAnsi="Segoe UI" w:cs="Segoe UI"/>
          <w:sz w:val="24"/>
          <w:szCs w:val="24"/>
        </w:rPr>
        <w:t xml:space="preserve">.  </w:t>
      </w:r>
      <w:r w:rsidRPr="00E90E68">
        <w:rPr>
          <w:rFonts w:ascii="Segoe UI" w:hAnsi="Segoe UI" w:cs="Segoe UI"/>
          <w:sz w:val="24"/>
          <w:szCs w:val="24"/>
        </w:rPr>
        <w:t xml:space="preserve">This Policy applies to all awards of equity compensation granted under any of </w:t>
      </w:r>
      <w:r>
        <w:rPr>
          <w:rFonts w:ascii="Segoe UI" w:hAnsi="Segoe UI" w:cs="Segoe UI"/>
          <w:sz w:val="24"/>
          <w:szCs w:val="24"/>
        </w:rPr>
        <w:t>SGH</w:t>
      </w:r>
      <w:r w:rsidRPr="00E90E68">
        <w:rPr>
          <w:rFonts w:ascii="Segoe UI" w:hAnsi="Segoe UI" w:cs="Segoe UI"/>
          <w:sz w:val="24"/>
          <w:szCs w:val="24"/>
        </w:rPr>
        <w:t>’s equity incentive plans to a Covered Individual, including all awards that are outstanding as of the date hereof and any awards granted hereafter.</w:t>
      </w:r>
    </w:p>
    <w:p w14:paraId="0D6986E1" w14:textId="77777777" w:rsidR="00E0747C" w:rsidRPr="00804D1C" w:rsidRDefault="00E0747C" w:rsidP="00E0747C">
      <w:pPr>
        <w:pStyle w:val="Heading1"/>
        <w:rPr>
          <w:rFonts w:ascii="Segoe UI" w:hAnsi="Segoe UI" w:cs="Segoe UI"/>
          <w:b w:val="0"/>
          <w:szCs w:val="24"/>
        </w:rPr>
      </w:pPr>
      <w:bookmarkStart w:id="6" w:name="_Toc387031973"/>
      <w:bookmarkStart w:id="7" w:name="_Toc520801462"/>
      <w:bookmarkStart w:id="8" w:name="_Toc520801551"/>
      <w:bookmarkStart w:id="9" w:name="_Toc520801701"/>
      <w:bookmarkStart w:id="10" w:name="_Toc384720857"/>
      <w:r>
        <w:rPr>
          <w:rFonts w:ascii="Segoe UI" w:hAnsi="Segoe UI" w:cs="Segoe UI"/>
          <w:b w:val="0"/>
          <w:szCs w:val="24"/>
        </w:rPr>
        <w:t>MINIMuM OWNERSHIP GUIDELINE</w:t>
      </w:r>
      <w:bookmarkEnd w:id="6"/>
      <w:bookmarkEnd w:id="7"/>
      <w:bookmarkEnd w:id="8"/>
      <w:bookmarkEnd w:id="9"/>
      <w:bookmarkEnd w:id="10"/>
    </w:p>
    <w:p w14:paraId="24682548" w14:textId="77777777" w:rsidR="00E0747C" w:rsidRPr="00804D1C" w:rsidRDefault="00E0747C" w:rsidP="00E0747C">
      <w:pPr>
        <w:pStyle w:val="body"/>
        <w:rPr>
          <w:rFonts w:ascii="Segoe UI" w:hAnsi="Segoe UI" w:cs="Segoe UI"/>
          <w:sz w:val="24"/>
          <w:szCs w:val="24"/>
        </w:rPr>
      </w:pPr>
    </w:p>
    <w:p w14:paraId="4A6AEFD5" w14:textId="3DADC9B7" w:rsidR="00E0747C" w:rsidRDefault="00E0747C" w:rsidP="00E0747C">
      <w:pPr>
        <w:ind w:left="720"/>
        <w:rPr>
          <w:rFonts w:ascii="Segoe UI" w:hAnsi="Segoe UI" w:cs="Segoe UI"/>
          <w:sz w:val="24"/>
          <w:szCs w:val="24"/>
        </w:rPr>
      </w:pPr>
      <w:r w:rsidRPr="00804D1C">
        <w:rPr>
          <w:rFonts w:ascii="Segoe UI" w:hAnsi="Segoe UI" w:cs="Segoe UI"/>
          <w:sz w:val="24"/>
          <w:szCs w:val="24"/>
        </w:rPr>
        <w:t>2.1</w:t>
      </w:r>
      <w:r w:rsidRPr="00804D1C">
        <w:rPr>
          <w:rFonts w:ascii="Segoe UI" w:hAnsi="Segoe UI" w:cs="Segoe UI"/>
          <w:sz w:val="24"/>
          <w:szCs w:val="24"/>
        </w:rPr>
        <w:tab/>
      </w:r>
      <w:r>
        <w:rPr>
          <w:rFonts w:ascii="Segoe UI" w:hAnsi="Segoe UI" w:cs="Segoe UI"/>
          <w:sz w:val="24"/>
          <w:szCs w:val="24"/>
          <w:u w:val="single"/>
        </w:rPr>
        <w:t>Minimum Ownership</w:t>
      </w:r>
      <w:r>
        <w:rPr>
          <w:rFonts w:ascii="Segoe UI" w:hAnsi="Segoe UI" w:cs="Segoe UI"/>
          <w:sz w:val="24"/>
          <w:szCs w:val="24"/>
        </w:rPr>
        <w:t xml:space="preserve">.  </w:t>
      </w:r>
      <w:r w:rsidRPr="00E90E68">
        <w:rPr>
          <w:rFonts w:ascii="Segoe UI" w:hAnsi="Segoe UI" w:cs="Segoe UI"/>
          <w:sz w:val="24"/>
          <w:szCs w:val="24"/>
        </w:rPr>
        <w:t>Within the later of March 31, 2024 and five (5) years after becoming a Covered Individual</w:t>
      </w:r>
      <w:r w:rsidR="009B6C61">
        <w:rPr>
          <w:rFonts w:ascii="Segoe UI" w:hAnsi="Segoe UI" w:cs="Segoe UI"/>
          <w:sz w:val="24"/>
          <w:szCs w:val="24"/>
        </w:rPr>
        <w:t xml:space="preserve"> (the “Effective Date”)</w:t>
      </w:r>
      <w:r w:rsidRPr="00E90E68">
        <w:rPr>
          <w:rFonts w:ascii="Segoe UI" w:hAnsi="Segoe UI" w:cs="Segoe UI"/>
          <w:sz w:val="24"/>
          <w:szCs w:val="24"/>
        </w:rPr>
        <w:t xml:space="preserve">, each Covered Individual is required to hold ordinary shares of </w:t>
      </w:r>
      <w:r>
        <w:rPr>
          <w:rFonts w:ascii="Segoe UI" w:hAnsi="Segoe UI" w:cs="Segoe UI"/>
          <w:sz w:val="24"/>
          <w:szCs w:val="24"/>
        </w:rPr>
        <w:t>SGH</w:t>
      </w:r>
      <w:r w:rsidRPr="00E90E68">
        <w:rPr>
          <w:rFonts w:ascii="Segoe UI" w:hAnsi="Segoe UI" w:cs="Segoe UI"/>
          <w:sz w:val="24"/>
          <w:szCs w:val="24"/>
        </w:rPr>
        <w:t xml:space="preserve"> (or ordinary share equivalents, as determined in accordance with this Policy) having an aggregate value of at least the applicable multiple of his or her annual base salary or annual cash retainer (exclusive of any committee service fees) as set forth in the following table:</w:t>
      </w:r>
    </w:p>
    <w:p w14:paraId="037F8C75" w14:textId="77777777" w:rsidR="00E0747C" w:rsidRDefault="00E0747C">
      <w:pPr>
        <w:rPr>
          <w:rFonts w:ascii="Segoe UI" w:hAnsi="Segoe UI" w:cs="Segoe UI"/>
          <w:sz w:val="24"/>
          <w:szCs w:val="24"/>
        </w:rPr>
      </w:pPr>
      <w:r>
        <w:rPr>
          <w:rFonts w:ascii="Segoe UI" w:hAnsi="Segoe UI" w:cs="Segoe UI"/>
          <w:sz w:val="24"/>
          <w:szCs w:val="24"/>
        </w:rPr>
        <w:br w:type="page"/>
      </w:r>
    </w:p>
    <w:p w14:paraId="4F3C2252" w14:textId="77777777" w:rsidR="00E0747C" w:rsidRDefault="00E0747C" w:rsidP="00E0747C">
      <w:pPr>
        <w:ind w:left="720"/>
        <w:rPr>
          <w:rFonts w:ascii="Segoe UI" w:hAnsi="Segoe UI" w:cs="Segoe UI"/>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4309"/>
      </w:tblGrid>
      <w:tr w:rsidR="00E0747C" w:rsidRPr="00E90E68" w14:paraId="241A077C" w14:textId="77777777" w:rsidTr="00D67266">
        <w:trPr>
          <w:trHeight w:val="317"/>
          <w:jc w:val="right"/>
        </w:trPr>
        <w:tc>
          <w:tcPr>
            <w:tcW w:w="4308" w:type="dxa"/>
          </w:tcPr>
          <w:p w14:paraId="50FD7802" w14:textId="77777777" w:rsidR="00E0747C" w:rsidRPr="009C0394" w:rsidRDefault="00E0747C" w:rsidP="00D67266">
            <w:pPr>
              <w:jc w:val="center"/>
              <w:rPr>
                <w:rFonts w:ascii="Segoe UI Semibold" w:hAnsi="Segoe UI Semibold" w:cs="Segoe UI Semibold"/>
                <w:sz w:val="24"/>
                <w:szCs w:val="24"/>
              </w:rPr>
            </w:pPr>
            <w:r w:rsidRPr="009C0394">
              <w:rPr>
                <w:rFonts w:ascii="Segoe UI Semibold" w:hAnsi="Segoe UI Semibold" w:cs="Segoe UI Semibold"/>
                <w:sz w:val="24"/>
                <w:szCs w:val="24"/>
              </w:rPr>
              <w:t>Title</w:t>
            </w:r>
          </w:p>
        </w:tc>
        <w:tc>
          <w:tcPr>
            <w:tcW w:w="4309" w:type="dxa"/>
          </w:tcPr>
          <w:p w14:paraId="26F1C4DD" w14:textId="77777777" w:rsidR="00E0747C" w:rsidRPr="009C0394" w:rsidRDefault="00E0747C" w:rsidP="00D67266">
            <w:pPr>
              <w:jc w:val="center"/>
              <w:rPr>
                <w:rFonts w:ascii="Segoe UI Semibold" w:hAnsi="Segoe UI Semibold" w:cs="Segoe UI Semibold"/>
                <w:sz w:val="24"/>
                <w:szCs w:val="24"/>
              </w:rPr>
            </w:pPr>
            <w:r w:rsidRPr="009C0394">
              <w:rPr>
                <w:rFonts w:ascii="Segoe UI Semibold" w:hAnsi="Segoe UI Semibold" w:cs="Segoe UI Semibold"/>
                <w:sz w:val="24"/>
                <w:szCs w:val="24"/>
              </w:rPr>
              <w:t>Share Ownership Guideline</w:t>
            </w:r>
          </w:p>
        </w:tc>
      </w:tr>
      <w:tr w:rsidR="00E0747C" w:rsidRPr="00E90E68" w14:paraId="0EC3E513" w14:textId="77777777" w:rsidTr="00D67266">
        <w:trPr>
          <w:trHeight w:val="317"/>
          <w:jc w:val="right"/>
        </w:trPr>
        <w:tc>
          <w:tcPr>
            <w:tcW w:w="4308" w:type="dxa"/>
          </w:tcPr>
          <w:p w14:paraId="159DF88A" w14:textId="77777777" w:rsidR="00E0747C" w:rsidRPr="00E90E68" w:rsidRDefault="00E0747C" w:rsidP="00D67266">
            <w:pPr>
              <w:rPr>
                <w:rFonts w:ascii="Segoe UI" w:hAnsi="Segoe UI" w:cs="Segoe UI"/>
                <w:sz w:val="24"/>
                <w:szCs w:val="24"/>
              </w:rPr>
            </w:pPr>
            <w:r w:rsidRPr="00E90E68">
              <w:rPr>
                <w:rFonts w:ascii="Segoe UI" w:hAnsi="Segoe UI" w:cs="Segoe UI"/>
                <w:sz w:val="24"/>
                <w:szCs w:val="24"/>
              </w:rPr>
              <w:t>Chief Executive Officer or President</w:t>
            </w:r>
          </w:p>
        </w:tc>
        <w:tc>
          <w:tcPr>
            <w:tcW w:w="4309" w:type="dxa"/>
          </w:tcPr>
          <w:p w14:paraId="68548D76" w14:textId="77777777" w:rsidR="00E0747C" w:rsidRPr="00E90E68" w:rsidRDefault="00E0747C" w:rsidP="00D67266">
            <w:pPr>
              <w:rPr>
                <w:rFonts w:ascii="Segoe UI" w:hAnsi="Segoe UI" w:cs="Segoe UI"/>
                <w:sz w:val="24"/>
                <w:szCs w:val="24"/>
              </w:rPr>
            </w:pPr>
            <w:r>
              <w:rPr>
                <w:rFonts w:ascii="Segoe UI" w:hAnsi="Segoe UI" w:cs="Segoe UI"/>
                <w:sz w:val="24"/>
                <w:szCs w:val="24"/>
              </w:rPr>
              <w:t>6</w:t>
            </w:r>
            <w:r w:rsidRPr="00E90E68">
              <w:rPr>
                <w:rFonts w:ascii="Segoe UI" w:hAnsi="Segoe UI" w:cs="Segoe UI"/>
                <w:sz w:val="24"/>
                <w:szCs w:val="24"/>
              </w:rPr>
              <w:t xml:space="preserve"> times annual base salary</w:t>
            </w:r>
          </w:p>
        </w:tc>
      </w:tr>
      <w:tr w:rsidR="00E0747C" w:rsidRPr="00E90E68" w14:paraId="48384BD7" w14:textId="77777777" w:rsidTr="00D67266">
        <w:trPr>
          <w:trHeight w:val="317"/>
          <w:jc w:val="right"/>
        </w:trPr>
        <w:tc>
          <w:tcPr>
            <w:tcW w:w="4308" w:type="dxa"/>
          </w:tcPr>
          <w:p w14:paraId="0C37D163" w14:textId="77777777" w:rsidR="00E0747C" w:rsidRPr="00E90E68" w:rsidRDefault="00E0747C" w:rsidP="00D67266">
            <w:pPr>
              <w:rPr>
                <w:rFonts w:ascii="Segoe UI" w:hAnsi="Segoe UI" w:cs="Segoe UI"/>
                <w:sz w:val="24"/>
                <w:szCs w:val="24"/>
              </w:rPr>
            </w:pPr>
            <w:r w:rsidRPr="00E90E68">
              <w:rPr>
                <w:rFonts w:ascii="Segoe UI" w:hAnsi="Segoe UI" w:cs="Segoe UI"/>
                <w:sz w:val="24"/>
                <w:szCs w:val="24"/>
              </w:rPr>
              <w:t>Other Covered Executives</w:t>
            </w:r>
          </w:p>
        </w:tc>
        <w:tc>
          <w:tcPr>
            <w:tcW w:w="4309" w:type="dxa"/>
          </w:tcPr>
          <w:p w14:paraId="54688161" w14:textId="77777777" w:rsidR="00E0747C" w:rsidRPr="00E90E68" w:rsidRDefault="00E0747C" w:rsidP="00D67266">
            <w:pPr>
              <w:rPr>
                <w:rFonts w:ascii="Segoe UI" w:hAnsi="Segoe UI" w:cs="Segoe UI"/>
                <w:sz w:val="24"/>
                <w:szCs w:val="24"/>
              </w:rPr>
            </w:pPr>
            <w:r w:rsidRPr="00E90E68">
              <w:rPr>
                <w:rFonts w:ascii="Segoe UI" w:hAnsi="Segoe UI" w:cs="Segoe UI"/>
                <w:sz w:val="24"/>
                <w:szCs w:val="24"/>
              </w:rPr>
              <w:t>1 times annual base salary</w:t>
            </w:r>
          </w:p>
        </w:tc>
      </w:tr>
      <w:tr w:rsidR="00E0747C" w:rsidRPr="00E90E68" w14:paraId="779F4BD2" w14:textId="77777777" w:rsidTr="00D67266">
        <w:trPr>
          <w:trHeight w:val="317"/>
          <w:jc w:val="right"/>
        </w:trPr>
        <w:tc>
          <w:tcPr>
            <w:tcW w:w="4308" w:type="dxa"/>
          </w:tcPr>
          <w:p w14:paraId="32C25CA2" w14:textId="77777777" w:rsidR="00E0747C" w:rsidRPr="00E90E68" w:rsidRDefault="00E0747C" w:rsidP="00D67266">
            <w:pPr>
              <w:rPr>
                <w:rFonts w:ascii="Segoe UI" w:hAnsi="Segoe UI" w:cs="Segoe UI"/>
                <w:sz w:val="24"/>
                <w:szCs w:val="24"/>
              </w:rPr>
            </w:pPr>
            <w:r w:rsidRPr="00E90E68">
              <w:rPr>
                <w:rFonts w:ascii="Segoe UI" w:hAnsi="Segoe UI" w:cs="Segoe UI"/>
                <w:sz w:val="24"/>
                <w:szCs w:val="24"/>
              </w:rPr>
              <w:t>Covered Directors</w:t>
            </w:r>
          </w:p>
        </w:tc>
        <w:tc>
          <w:tcPr>
            <w:tcW w:w="4309" w:type="dxa"/>
          </w:tcPr>
          <w:p w14:paraId="65689169" w14:textId="075E9470" w:rsidR="00E0747C" w:rsidRPr="00E90E68" w:rsidRDefault="00E0747C" w:rsidP="00D67266">
            <w:pPr>
              <w:rPr>
                <w:rFonts w:ascii="Segoe UI" w:hAnsi="Segoe UI" w:cs="Segoe UI"/>
                <w:sz w:val="24"/>
                <w:szCs w:val="24"/>
              </w:rPr>
            </w:pPr>
            <w:r w:rsidRPr="00E90E68">
              <w:rPr>
                <w:rFonts w:ascii="Segoe UI" w:hAnsi="Segoe UI" w:cs="Segoe UI"/>
                <w:sz w:val="24"/>
                <w:szCs w:val="24"/>
              </w:rPr>
              <w:t>3 times annual cash</w:t>
            </w:r>
            <w:r w:rsidR="002655B6">
              <w:rPr>
                <w:rFonts w:ascii="Segoe UI" w:hAnsi="Segoe UI" w:cs="Segoe UI"/>
                <w:sz w:val="24"/>
                <w:szCs w:val="24"/>
              </w:rPr>
              <w:t xml:space="preserve"> Board</w:t>
            </w:r>
            <w:r w:rsidRPr="00E90E68">
              <w:rPr>
                <w:rFonts w:ascii="Segoe UI" w:hAnsi="Segoe UI" w:cs="Segoe UI"/>
                <w:sz w:val="24"/>
                <w:szCs w:val="24"/>
              </w:rPr>
              <w:t xml:space="preserve"> retainer</w:t>
            </w:r>
          </w:p>
        </w:tc>
      </w:tr>
    </w:tbl>
    <w:p w14:paraId="352CBFF6" w14:textId="77777777" w:rsidR="00E0747C" w:rsidRDefault="00E0747C" w:rsidP="00E0747C">
      <w:pPr>
        <w:ind w:left="720"/>
        <w:rPr>
          <w:rFonts w:ascii="Segoe UI" w:hAnsi="Segoe UI" w:cs="Segoe UI"/>
          <w:sz w:val="24"/>
          <w:szCs w:val="24"/>
        </w:rPr>
      </w:pPr>
    </w:p>
    <w:p w14:paraId="10CCFFD6" w14:textId="77777777" w:rsidR="00E0747C" w:rsidRDefault="00E0747C" w:rsidP="00E0747C">
      <w:pPr>
        <w:ind w:left="720"/>
        <w:rPr>
          <w:rFonts w:ascii="Segoe UI" w:hAnsi="Segoe UI" w:cs="Segoe UI"/>
          <w:sz w:val="24"/>
          <w:szCs w:val="24"/>
        </w:rPr>
      </w:pPr>
      <w:r w:rsidRPr="00E90E68">
        <w:rPr>
          <w:rFonts w:ascii="Segoe UI" w:hAnsi="Segoe UI" w:cs="Segoe UI"/>
          <w:sz w:val="24"/>
          <w:szCs w:val="24"/>
        </w:rPr>
        <w:t>These represent minimum ownership guidelines – covered executives and covered directors are encouraged to own ordinary shares beyond these levels.</w:t>
      </w:r>
    </w:p>
    <w:p w14:paraId="237F6273" w14:textId="77777777" w:rsidR="00E0747C" w:rsidRDefault="00E0747C" w:rsidP="00E0747C">
      <w:pPr>
        <w:ind w:left="720"/>
        <w:rPr>
          <w:rFonts w:ascii="Segoe UI" w:hAnsi="Segoe UI" w:cs="Segoe UI"/>
          <w:sz w:val="24"/>
          <w:szCs w:val="24"/>
        </w:rPr>
      </w:pPr>
    </w:p>
    <w:p w14:paraId="68F0A7F9" w14:textId="022DFD3C" w:rsidR="00E0747C" w:rsidRDefault="00E0747C" w:rsidP="00E0747C">
      <w:pPr>
        <w:ind w:left="720"/>
        <w:rPr>
          <w:rFonts w:ascii="Segoe UI" w:hAnsi="Segoe UI" w:cs="Segoe UI"/>
          <w:sz w:val="24"/>
          <w:szCs w:val="24"/>
        </w:rPr>
      </w:pPr>
      <w:r>
        <w:rPr>
          <w:rFonts w:ascii="Segoe UI" w:hAnsi="Segoe UI" w:cs="Segoe UI"/>
          <w:sz w:val="24"/>
          <w:szCs w:val="24"/>
        </w:rPr>
        <w:t>2.2</w:t>
      </w:r>
      <w:r w:rsidRPr="00804D1C">
        <w:rPr>
          <w:rFonts w:ascii="Segoe UI" w:hAnsi="Segoe UI" w:cs="Segoe UI"/>
          <w:sz w:val="24"/>
          <w:szCs w:val="24"/>
        </w:rPr>
        <w:tab/>
      </w:r>
      <w:r>
        <w:rPr>
          <w:rFonts w:ascii="Segoe UI" w:hAnsi="Segoe UI" w:cs="Segoe UI"/>
          <w:sz w:val="24"/>
          <w:szCs w:val="24"/>
          <w:u w:val="single"/>
        </w:rPr>
        <w:t>Valuation Methodology</w:t>
      </w:r>
      <w:r>
        <w:rPr>
          <w:rFonts w:ascii="Segoe UI" w:hAnsi="Segoe UI" w:cs="Segoe UI"/>
          <w:sz w:val="24"/>
          <w:szCs w:val="24"/>
        </w:rPr>
        <w:t xml:space="preserve">.  </w:t>
      </w:r>
      <w:r w:rsidRPr="00E90E68">
        <w:rPr>
          <w:rFonts w:ascii="Segoe UI" w:hAnsi="Segoe UI" w:cs="Segoe UI"/>
          <w:sz w:val="24"/>
          <w:szCs w:val="24"/>
        </w:rPr>
        <w:t xml:space="preserve">For purposes of measuring whether ownership goals are achieved, all calculations will be performed after the end of </w:t>
      </w:r>
      <w:r>
        <w:rPr>
          <w:rFonts w:ascii="Segoe UI" w:hAnsi="Segoe UI" w:cs="Segoe UI"/>
          <w:sz w:val="24"/>
          <w:szCs w:val="24"/>
        </w:rPr>
        <w:t>SGH</w:t>
      </w:r>
      <w:r w:rsidRPr="00E90E68">
        <w:rPr>
          <w:rFonts w:ascii="Segoe UI" w:hAnsi="Segoe UI" w:cs="Segoe UI"/>
          <w:sz w:val="24"/>
          <w:szCs w:val="24"/>
        </w:rPr>
        <w:t>’s fiscal year (the “</w:t>
      </w:r>
      <w:r w:rsidRPr="009C0394">
        <w:rPr>
          <w:rFonts w:ascii="Segoe UI Semibold" w:hAnsi="Segoe UI Semibold" w:cs="Segoe UI Semibold"/>
          <w:sz w:val="24"/>
          <w:szCs w:val="24"/>
        </w:rPr>
        <w:t>Measurement Date</w:t>
      </w:r>
      <w:r w:rsidRPr="00E90E68">
        <w:rPr>
          <w:rFonts w:ascii="Segoe UI" w:hAnsi="Segoe UI" w:cs="Segoe UI"/>
          <w:sz w:val="24"/>
          <w:szCs w:val="24"/>
        </w:rPr>
        <w:t xml:space="preserve">”) with annual base salary and director cash retainers to be based on the annual amount in effect as of the last month of such fiscal year. The value of each Covered Individual’s share ownership is based on the weighted average closing price of a share of </w:t>
      </w:r>
      <w:r>
        <w:rPr>
          <w:rFonts w:ascii="Segoe UI" w:hAnsi="Segoe UI" w:cs="Segoe UI"/>
          <w:sz w:val="24"/>
          <w:szCs w:val="24"/>
        </w:rPr>
        <w:t>SGH</w:t>
      </w:r>
      <w:r w:rsidRPr="00E90E68">
        <w:rPr>
          <w:rFonts w:ascii="Segoe UI" w:hAnsi="Segoe UI" w:cs="Segoe UI"/>
          <w:sz w:val="24"/>
          <w:szCs w:val="24"/>
        </w:rPr>
        <w:t>’s ordinary shares as reported on Nasdaq during the last 20 trading</w:t>
      </w:r>
      <w:r>
        <w:rPr>
          <w:rFonts w:ascii="Segoe UI" w:hAnsi="Segoe UI" w:cs="Segoe UI"/>
          <w:sz w:val="24"/>
          <w:szCs w:val="24"/>
        </w:rPr>
        <w:t xml:space="preserve"> days of each fiscal </w:t>
      </w:r>
      <w:r w:rsidRPr="00E90E68">
        <w:rPr>
          <w:rFonts w:ascii="Segoe UI" w:hAnsi="Segoe UI" w:cs="Segoe UI"/>
          <w:sz w:val="24"/>
          <w:szCs w:val="24"/>
        </w:rPr>
        <w:t xml:space="preserve">year multiplied by the number of shares attributable to the Covered Individual.  Once a covered executive or covered director has achieved the applicable ownership guideline, such person will be considered in compliance until the next Measurement Date.  </w:t>
      </w:r>
    </w:p>
    <w:p w14:paraId="7368DF42" w14:textId="77777777" w:rsidR="00E0747C" w:rsidRDefault="00E0747C" w:rsidP="00E0747C">
      <w:pPr>
        <w:ind w:left="720"/>
        <w:rPr>
          <w:rFonts w:ascii="Segoe UI" w:hAnsi="Segoe UI" w:cs="Segoe UI"/>
          <w:sz w:val="24"/>
          <w:szCs w:val="24"/>
        </w:rPr>
      </w:pPr>
    </w:p>
    <w:p w14:paraId="1949E515" w14:textId="77777777" w:rsidR="00E0747C" w:rsidRDefault="00E0747C" w:rsidP="00E0747C">
      <w:pPr>
        <w:ind w:left="720"/>
        <w:rPr>
          <w:rFonts w:ascii="Segoe UI" w:hAnsi="Segoe UI" w:cs="Segoe UI"/>
          <w:sz w:val="24"/>
          <w:szCs w:val="24"/>
        </w:rPr>
      </w:pPr>
      <w:r>
        <w:rPr>
          <w:rFonts w:ascii="Segoe UI" w:hAnsi="Segoe UI" w:cs="Segoe UI"/>
          <w:sz w:val="24"/>
          <w:szCs w:val="24"/>
        </w:rPr>
        <w:t>2.3</w:t>
      </w:r>
      <w:r w:rsidRPr="00804D1C">
        <w:rPr>
          <w:rFonts w:ascii="Segoe UI" w:hAnsi="Segoe UI" w:cs="Segoe UI"/>
          <w:sz w:val="24"/>
          <w:szCs w:val="24"/>
        </w:rPr>
        <w:tab/>
      </w:r>
      <w:r>
        <w:rPr>
          <w:rFonts w:ascii="Segoe UI" w:hAnsi="Segoe UI" w:cs="Segoe UI"/>
          <w:sz w:val="24"/>
          <w:szCs w:val="24"/>
          <w:u w:val="single"/>
        </w:rPr>
        <w:t>Eligible Equity</w:t>
      </w:r>
      <w:r>
        <w:rPr>
          <w:rFonts w:ascii="Segoe UI" w:hAnsi="Segoe UI" w:cs="Segoe UI"/>
          <w:sz w:val="24"/>
          <w:szCs w:val="24"/>
        </w:rPr>
        <w:t xml:space="preserve">.  </w:t>
      </w:r>
      <w:r w:rsidRPr="00E90E68">
        <w:rPr>
          <w:rFonts w:ascii="Segoe UI" w:hAnsi="Segoe UI" w:cs="Segoe UI"/>
          <w:sz w:val="24"/>
          <w:szCs w:val="24"/>
        </w:rPr>
        <w:t>For purposes of determining whether a Covered Individual has satisfied the share ownership requirements of this Policy, eligible equity shall include:</w:t>
      </w:r>
    </w:p>
    <w:p w14:paraId="42E62514" w14:textId="77777777" w:rsidR="00E0747C" w:rsidRDefault="00E0747C" w:rsidP="00E0747C">
      <w:pPr>
        <w:ind w:left="720"/>
        <w:rPr>
          <w:rFonts w:ascii="Segoe UI" w:hAnsi="Segoe UI" w:cs="Segoe UI"/>
          <w:sz w:val="24"/>
          <w:szCs w:val="24"/>
        </w:rPr>
      </w:pPr>
    </w:p>
    <w:p w14:paraId="122950ED" w14:textId="77777777" w:rsidR="00E0747C" w:rsidRPr="00E90E68" w:rsidRDefault="00E0747C" w:rsidP="00E0747C">
      <w:pPr>
        <w:pStyle w:val="ListParagraph"/>
        <w:numPr>
          <w:ilvl w:val="0"/>
          <w:numId w:val="6"/>
        </w:numPr>
        <w:rPr>
          <w:rFonts w:ascii="Segoe UI" w:hAnsi="Segoe UI" w:cs="Segoe UI"/>
          <w:sz w:val="24"/>
          <w:szCs w:val="24"/>
        </w:rPr>
      </w:pPr>
      <w:r w:rsidRPr="00E90E68">
        <w:rPr>
          <w:rFonts w:ascii="Segoe UI" w:hAnsi="Segoe UI" w:cs="Segoe UI"/>
          <w:sz w:val="24"/>
          <w:szCs w:val="24"/>
        </w:rPr>
        <w:t>Shares owned outright by the Covered Executive or Covered Director or any of such person’s immediate family members residing in the same household;</w:t>
      </w:r>
    </w:p>
    <w:p w14:paraId="561253B6" w14:textId="77777777" w:rsidR="00E0747C" w:rsidRPr="00E90E68" w:rsidRDefault="00E0747C" w:rsidP="00E0747C">
      <w:pPr>
        <w:pStyle w:val="ListParagraph"/>
        <w:numPr>
          <w:ilvl w:val="0"/>
          <w:numId w:val="6"/>
        </w:numPr>
        <w:rPr>
          <w:rFonts w:ascii="Segoe UI" w:hAnsi="Segoe UI" w:cs="Segoe UI"/>
          <w:sz w:val="24"/>
          <w:szCs w:val="24"/>
        </w:rPr>
      </w:pPr>
      <w:r w:rsidRPr="00E90E68">
        <w:rPr>
          <w:rFonts w:ascii="Segoe UI" w:hAnsi="Segoe UI" w:cs="Segoe UI"/>
          <w:sz w:val="24"/>
          <w:szCs w:val="24"/>
        </w:rPr>
        <w:t xml:space="preserve">Shares held in trust for the benefit of the covered executive or covered director or such person’s family; </w:t>
      </w:r>
    </w:p>
    <w:p w14:paraId="18224F20" w14:textId="77777777" w:rsidR="00E0747C" w:rsidRPr="00E90E68" w:rsidRDefault="00E0747C" w:rsidP="00E0747C">
      <w:pPr>
        <w:pStyle w:val="ListParagraph"/>
        <w:numPr>
          <w:ilvl w:val="0"/>
          <w:numId w:val="6"/>
        </w:numPr>
        <w:rPr>
          <w:rFonts w:ascii="Segoe UI" w:hAnsi="Segoe UI" w:cs="Segoe UI"/>
          <w:sz w:val="24"/>
          <w:szCs w:val="24"/>
        </w:rPr>
      </w:pPr>
      <w:r w:rsidRPr="00E90E68">
        <w:rPr>
          <w:rFonts w:ascii="Segoe UI" w:hAnsi="Segoe UI" w:cs="Segoe UI"/>
          <w:sz w:val="24"/>
          <w:szCs w:val="24"/>
        </w:rPr>
        <w:t xml:space="preserve">Shares held in </w:t>
      </w:r>
      <w:r>
        <w:rPr>
          <w:rFonts w:ascii="Segoe UI" w:hAnsi="Segoe UI" w:cs="Segoe UI"/>
          <w:sz w:val="24"/>
          <w:szCs w:val="24"/>
        </w:rPr>
        <w:t>SGH</w:t>
      </w:r>
      <w:r w:rsidRPr="00E90E68">
        <w:rPr>
          <w:rFonts w:ascii="Segoe UI" w:hAnsi="Segoe UI" w:cs="Segoe UI"/>
          <w:sz w:val="24"/>
          <w:szCs w:val="24"/>
        </w:rPr>
        <w:t xml:space="preserve">’s employee benefit plans; </w:t>
      </w:r>
    </w:p>
    <w:p w14:paraId="77424894" w14:textId="77777777" w:rsidR="00E0747C" w:rsidRPr="00E90E68" w:rsidRDefault="00E0747C" w:rsidP="00E0747C">
      <w:pPr>
        <w:pStyle w:val="ListParagraph"/>
        <w:numPr>
          <w:ilvl w:val="0"/>
          <w:numId w:val="6"/>
        </w:numPr>
        <w:rPr>
          <w:rFonts w:ascii="Segoe UI" w:hAnsi="Segoe UI" w:cs="Segoe UI"/>
          <w:sz w:val="24"/>
          <w:szCs w:val="24"/>
        </w:rPr>
      </w:pPr>
      <w:r w:rsidRPr="00E90E68">
        <w:rPr>
          <w:rFonts w:ascii="Segoe UI" w:hAnsi="Segoe UI" w:cs="Segoe UI"/>
          <w:sz w:val="24"/>
          <w:szCs w:val="24"/>
        </w:rPr>
        <w:t>Shares obtained through stock option exercise;</w:t>
      </w:r>
    </w:p>
    <w:p w14:paraId="44E73A52" w14:textId="77777777" w:rsidR="00E0747C" w:rsidRPr="00E90E68" w:rsidRDefault="00E0747C" w:rsidP="00E0747C">
      <w:pPr>
        <w:pStyle w:val="ListParagraph"/>
        <w:numPr>
          <w:ilvl w:val="0"/>
          <w:numId w:val="6"/>
        </w:numPr>
        <w:rPr>
          <w:rFonts w:ascii="Segoe UI" w:hAnsi="Segoe UI" w:cs="Segoe UI"/>
          <w:sz w:val="24"/>
          <w:szCs w:val="24"/>
        </w:rPr>
      </w:pPr>
      <w:r w:rsidRPr="00E90E68">
        <w:rPr>
          <w:rFonts w:ascii="Segoe UI" w:hAnsi="Segoe UI" w:cs="Segoe UI"/>
          <w:sz w:val="24"/>
          <w:szCs w:val="24"/>
        </w:rPr>
        <w:t xml:space="preserve">After-tax value of shares of nonvested time-based restricted stock*; and </w:t>
      </w:r>
    </w:p>
    <w:p w14:paraId="75B52CA2" w14:textId="77777777" w:rsidR="00E0747C" w:rsidRPr="00E90E68" w:rsidRDefault="00E0747C" w:rsidP="00E0747C">
      <w:pPr>
        <w:pStyle w:val="ListParagraph"/>
        <w:numPr>
          <w:ilvl w:val="0"/>
          <w:numId w:val="6"/>
        </w:numPr>
        <w:rPr>
          <w:rFonts w:ascii="Segoe UI" w:hAnsi="Segoe UI" w:cs="Segoe UI"/>
          <w:sz w:val="24"/>
          <w:szCs w:val="24"/>
        </w:rPr>
      </w:pPr>
      <w:r w:rsidRPr="00E90E68">
        <w:rPr>
          <w:rFonts w:ascii="Segoe UI" w:hAnsi="Segoe UI" w:cs="Segoe UI"/>
          <w:sz w:val="24"/>
          <w:szCs w:val="24"/>
        </w:rPr>
        <w:t>After-tax value of nonvested time-based restricted stock units*.</w:t>
      </w:r>
    </w:p>
    <w:p w14:paraId="427E42AE" w14:textId="77777777" w:rsidR="00E0747C" w:rsidRPr="00E90E68" w:rsidRDefault="00E0747C" w:rsidP="00E0747C">
      <w:pPr>
        <w:ind w:left="720"/>
        <w:rPr>
          <w:rFonts w:ascii="Segoe UI" w:hAnsi="Segoe UI" w:cs="Segoe UI"/>
          <w:sz w:val="24"/>
          <w:szCs w:val="24"/>
        </w:rPr>
      </w:pPr>
    </w:p>
    <w:p w14:paraId="00D0E28F" w14:textId="77777777" w:rsidR="00E0747C" w:rsidRDefault="00E0747C" w:rsidP="00E0747C">
      <w:pPr>
        <w:ind w:left="1080"/>
        <w:rPr>
          <w:rFonts w:ascii="Segoe UI" w:hAnsi="Segoe UI" w:cs="Segoe UI"/>
          <w:sz w:val="24"/>
          <w:szCs w:val="24"/>
        </w:rPr>
      </w:pPr>
      <w:r w:rsidRPr="00E90E68">
        <w:rPr>
          <w:rFonts w:ascii="Segoe UI" w:hAnsi="Segoe UI" w:cs="Segoe UI"/>
          <w:sz w:val="24"/>
          <w:szCs w:val="24"/>
        </w:rPr>
        <w:t>*Includes performance-based restricted stock and restricted stock units if the underlying performanc</w:t>
      </w:r>
      <w:r>
        <w:rPr>
          <w:rFonts w:ascii="Segoe UI" w:hAnsi="Segoe UI" w:cs="Segoe UI"/>
          <w:sz w:val="24"/>
          <w:szCs w:val="24"/>
        </w:rPr>
        <w:t>e condition has been achieved.</w:t>
      </w:r>
    </w:p>
    <w:p w14:paraId="68903727" w14:textId="77777777" w:rsidR="00E0747C" w:rsidRDefault="00E0747C" w:rsidP="00E0747C">
      <w:pPr>
        <w:ind w:left="720"/>
        <w:rPr>
          <w:rFonts w:ascii="Segoe UI" w:hAnsi="Segoe UI" w:cs="Segoe UI"/>
          <w:sz w:val="24"/>
          <w:szCs w:val="24"/>
        </w:rPr>
      </w:pPr>
    </w:p>
    <w:p w14:paraId="7FA0BDA4" w14:textId="77777777" w:rsidR="00E0747C" w:rsidRDefault="00E0747C" w:rsidP="00E0747C">
      <w:pPr>
        <w:ind w:left="720"/>
        <w:rPr>
          <w:rFonts w:ascii="Segoe UI" w:hAnsi="Segoe UI" w:cs="Segoe UI"/>
          <w:sz w:val="24"/>
          <w:szCs w:val="24"/>
        </w:rPr>
      </w:pPr>
      <w:r w:rsidRPr="00E90E68">
        <w:rPr>
          <w:rFonts w:ascii="Segoe UI" w:hAnsi="Segoe UI" w:cs="Segoe UI"/>
          <w:sz w:val="24"/>
          <w:szCs w:val="24"/>
        </w:rPr>
        <w:lastRenderedPageBreak/>
        <w:t>The following shares will not count toward achievement of the share ownership guidelines:</w:t>
      </w:r>
    </w:p>
    <w:p w14:paraId="54982627" w14:textId="77777777" w:rsidR="00E0747C" w:rsidRPr="00E90E68" w:rsidRDefault="00E0747C" w:rsidP="00E0747C">
      <w:pPr>
        <w:pStyle w:val="ListParagraph"/>
        <w:numPr>
          <w:ilvl w:val="0"/>
          <w:numId w:val="7"/>
        </w:numPr>
        <w:spacing w:before="240"/>
        <w:rPr>
          <w:rFonts w:ascii="Segoe UI" w:hAnsi="Segoe UI" w:cs="Segoe UI"/>
          <w:sz w:val="24"/>
          <w:szCs w:val="24"/>
        </w:rPr>
      </w:pPr>
      <w:r w:rsidRPr="00E90E68">
        <w:rPr>
          <w:rFonts w:ascii="Segoe UI" w:hAnsi="Segoe UI" w:cs="Segoe UI"/>
          <w:sz w:val="24"/>
          <w:szCs w:val="24"/>
        </w:rPr>
        <w:t>Unexercised stock options and nonvested stock options;</w:t>
      </w:r>
    </w:p>
    <w:p w14:paraId="6BFC7D75" w14:textId="77777777" w:rsidR="00E0747C" w:rsidRPr="00E90E68" w:rsidRDefault="00E0747C" w:rsidP="00E0747C">
      <w:pPr>
        <w:pStyle w:val="ListParagraph"/>
        <w:numPr>
          <w:ilvl w:val="0"/>
          <w:numId w:val="7"/>
        </w:numPr>
        <w:rPr>
          <w:rFonts w:ascii="Segoe UI" w:hAnsi="Segoe UI" w:cs="Segoe UI"/>
          <w:sz w:val="24"/>
          <w:szCs w:val="24"/>
        </w:rPr>
      </w:pPr>
      <w:r w:rsidRPr="00E90E68">
        <w:rPr>
          <w:rFonts w:ascii="Segoe UI" w:hAnsi="Segoe UI" w:cs="Segoe UI"/>
          <w:sz w:val="24"/>
          <w:szCs w:val="24"/>
        </w:rPr>
        <w:t>Shares of nonvested performance-based restricted stock; and</w:t>
      </w:r>
    </w:p>
    <w:p w14:paraId="5065E2CB" w14:textId="77777777" w:rsidR="00E0747C" w:rsidRPr="00E90E68" w:rsidRDefault="00E0747C" w:rsidP="00E0747C">
      <w:pPr>
        <w:pStyle w:val="ListParagraph"/>
        <w:numPr>
          <w:ilvl w:val="0"/>
          <w:numId w:val="7"/>
        </w:numPr>
        <w:rPr>
          <w:rFonts w:ascii="Segoe UI" w:hAnsi="Segoe UI" w:cs="Segoe UI"/>
          <w:sz w:val="24"/>
          <w:szCs w:val="24"/>
        </w:rPr>
      </w:pPr>
      <w:r w:rsidRPr="00E90E68">
        <w:rPr>
          <w:rFonts w:ascii="Segoe UI" w:hAnsi="Segoe UI" w:cs="Segoe UI"/>
          <w:sz w:val="24"/>
          <w:szCs w:val="24"/>
        </w:rPr>
        <w:t>Nonvested performanc</w:t>
      </w:r>
      <w:r>
        <w:rPr>
          <w:rFonts w:ascii="Segoe UI" w:hAnsi="Segoe UI" w:cs="Segoe UI"/>
          <w:sz w:val="24"/>
          <w:szCs w:val="24"/>
        </w:rPr>
        <w:t>e-based restricted stock units.</w:t>
      </w:r>
    </w:p>
    <w:p w14:paraId="6FBA7829" w14:textId="77777777" w:rsidR="00E0747C" w:rsidRDefault="00E0747C" w:rsidP="00E0747C">
      <w:pPr>
        <w:rPr>
          <w:rFonts w:ascii="Segoe UI" w:hAnsi="Segoe UI" w:cs="Segoe UI"/>
          <w:sz w:val="24"/>
          <w:szCs w:val="24"/>
        </w:rPr>
      </w:pPr>
    </w:p>
    <w:p w14:paraId="5FA0A4BE" w14:textId="4631E7FA" w:rsidR="00E0747C" w:rsidRDefault="00E0747C" w:rsidP="00E0747C">
      <w:pPr>
        <w:ind w:left="720"/>
        <w:rPr>
          <w:rFonts w:ascii="Segoe UI" w:hAnsi="Segoe UI" w:cs="Segoe UI"/>
          <w:sz w:val="24"/>
          <w:szCs w:val="24"/>
        </w:rPr>
      </w:pPr>
      <w:r>
        <w:rPr>
          <w:rFonts w:ascii="Segoe UI" w:hAnsi="Segoe UI" w:cs="Segoe UI"/>
          <w:sz w:val="24"/>
          <w:szCs w:val="24"/>
        </w:rPr>
        <w:t>2.4</w:t>
      </w:r>
      <w:r w:rsidRPr="00804D1C">
        <w:rPr>
          <w:rFonts w:ascii="Segoe UI" w:hAnsi="Segoe UI" w:cs="Segoe UI"/>
          <w:sz w:val="24"/>
          <w:szCs w:val="24"/>
        </w:rPr>
        <w:tab/>
      </w:r>
      <w:r>
        <w:rPr>
          <w:rFonts w:ascii="Segoe UI" w:hAnsi="Segoe UI" w:cs="Segoe UI"/>
          <w:sz w:val="24"/>
          <w:szCs w:val="24"/>
          <w:u w:val="single"/>
        </w:rPr>
        <w:t>Share Retention Requirement</w:t>
      </w:r>
      <w:r>
        <w:rPr>
          <w:rFonts w:ascii="Segoe UI" w:hAnsi="Segoe UI" w:cs="Segoe UI"/>
          <w:sz w:val="24"/>
          <w:szCs w:val="24"/>
        </w:rPr>
        <w:t xml:space="preserve">.  </w:t>
      </w:r>
      <w:r w:rsidRPr="00E90E68">
        <w:rPr>
          <w:rFonts w:ascii="Segoe UI" w:hAnsi="Segoe UI" w:cs="Segoe UI"/>
          <w:sz w:val="24"/>
          <w:szCs w:val="24"/>
        </w:rPr>
        <w:t>As of the Effective Date, until a Covered Individual has satisfied his or her applicable salary</w:t>
      </w:r>
      <w:r w:rsidR="002655B6">
        <w:rPr>
          <w:rFonts w:ascii="Segoe UI" w:hAnsi="Segoe UI" w:cs="Segoe UI"/>
          <w:sz w:val="24"/>
          <w:szCs w:val="24"/>
        </w:rPr>
        <w:t xml:space="preserve"> or </w:t>
      </w:r>
      <w:r w:rsidR="008F0B9E">
        <w:rPr>
          <w:rFonts w:ascii="Segoe UI" w:hAnsi="Segoe UI" w:cs="Segoe UI"/>
          <w:sz w:val="24"/>
          <w:szCs w:val="24"/>
        </w:rPr>
        <w:t xml:space="preserve">Board </w:t>
      </w:r>
      <w:r w:rsidR="002655B6">
        <w:rPr>
          <w:rFonts w:ascii="Segoe UI" w:hAnsi="Segoe UI" w:cs="Segoe UI"/>
          <w:sz w:val="24"/>
          <w:szCs w:val="24"/>
        </w:rPr>
        <w:t>retainer</w:t>
      </w:r>
      <w:r w:rsidRPr="00E90E68">
        <w:rPr>
          <w:rFonts w:ascii="Segoe UI" w:hAnsi="Segoe UI" w:cs="Segoe UI"/>
          <w:sz w:val="24"/>
          <w:szCs w:val="24"/>
        </w:rPr>
        <w:t xml:space="preserve"> multiple threshold, the Covered Individual is required to retain at least 20% of net profit shares.  “Net profit shares” are those shares that remain after deducting the applicable tax withholdings and the payment of any exercise or purchase price (if applicable) upon the vesting or settlement of equity awards or the exercise of stock options.</w:t>
      </w:r>
    </w:p>
    <w:p w14:paraId="30DD03F0" w14:textId="77777777" w:rsidR="00E0747C" w:rsidRPr="00846DB9" w:rsidRDefault="00E0747C" w:rsidP="00E0747C">
      <w:pPr>
        <w:pStyle w:val="Heading1"/>
        <w:rPr>
          <w:rFonts w:ascii="Segoe UI" w:hAnsi="Segoe UI" w:cs="Segoe UI"/>
          <w:b w:val="0"/>
          <w:szCs w:val="24"/>
        </w:rPr>
      </w:pPr>
      <w:r>
        <w:rPr>
          <w:rFonts w:ascii="Segoe UI" w:hAnsi="Segoe UI" w:cs="Segoe UI"/>
          <w:b w:val="0"/>
          <w:szCs w:val="24"/>
        </w:rPr>
        <w:t>administration</w:t>
      </w:r>
    </w:p>
    <w:p w14:paraId="29ECCBC8" w14:textId="77777777" w:rsidR="00E0747C" w:rsidRDefault="00E0747C" w:rsidP="00E0747C">
      <w:pPr>
        <w:rPr>
          <w:rFonts w:ascii="Segoe UI" w:hAnsi="Segoe UI" w:cs="Segoe UI"/>
          <w:sz w:val="24"/>
          <w:szCs w:val="24"/>
        </w:rPr>
      </w:pPr>
    </w:p>
    <w:p w14:paraId="7C5276F8" w14:textId="77777777" w:rsidR="00E0747C" w:rsidRDefault="00E0747C" w:rsidP="00E0747C">
      <w:pPr>
        <w:rPr>
          <w:rFonts w:ascii="Segoe UI" w:hAnsi="Segoe UI" w:cs="Segoe UI"/>
          <w:sz w:val="24"/>
          <w:szCs w:val="24"/>
        </w:rPr>
      </w:pPr>
      <w:r w:rsidRPr="00E90E68">
        <w:rPr>
          <w:rFonts w:ascii="Segoe UI" w:hAnsi="Segoe UI" w:cs="Segoe UI"/>
          <w:sz w:val="24"/>
          <w:szCs w:val="24"/>
        </w:rPr>
        <w:t>The Board reserves the right to modify or amend this Policy at any time. The Board will evaluate whether exceptions should be made for any Covered Individual on whom the applicable guideline would impose a severe financial hardship.</w:t>
      </w:r>
    </w:p>
    <w:p w14:paraId="02AAF498" w14:textId="77777777" w:rsidR="00412E0C" w:rsidRPr="00E0747C" w:rsidRDefault="00412E0C" w:rsidP="00E0747C"/>
    <w:sectPr w:rsidR="00412E0C" w:rsidRPr="00E0747C" w:rsidSect="00412E0C">
      <w:footerReference w:type="default" r:id="rId10"/>
      <w:headerReference w:type="first" r:id="rId11"/>
      <w:footerReference w:type="first" r:id="rId12"/>
      <w:pgSz w:w="12240" w:h="15840"/>
      <w:pgMar w:top="2160" w:right="1440" w:bottom="1728"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B5854" w16cex:dateUtc="2023-08-07T18:47:00Z"/>
  <w16cex:commentExtensible w16cex:durableId="287B5910" w16cex:dateUtc="2023-08-07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456A57" w16cid:durableId="287B5854"/>
  <w16cid:commentId w16cid:paraId="56905F3E" w16cid:durableId="287B59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2AED3" w14:textId="77777777" w:rsidR="000333E4" w:rsidRDefault="000333E4" w:rsidP="00E94B23">
      <w:r>
        <w:separator/>
      </w:r>
    </w:p>
    <w:p w14:paraId="05F9C679" w14:textId="77777777" w:rsidR="000333E4" w:rsidRDefault="000333E4"/>
  </w:endnote>
  <w:endnote w:type="continuationSeparator" w:id="0">
    <w:p w14:paraId="5AB7F0D0" w14:textId="77777777" w:rsidR="000333E4" w:rsidRDefault="000333E4" w:rsidP="00E94B23">
      <w:r>
        <w:continuationSeparator/>
      </w:r>
    </w:p>
    <w:p w14:paraId="5D9E54F2" w14:textId="77777777" w:rsidR="000333E4" w:rsidRDefault="00033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B013" w14:textId="7B69977E" w:rsidR="003A0758" w:rsidRPr="003A0758" w:rsidRDefault="003A0758">
    <w:pPr>
      <w:pStyle w:val="Footer"/>
      <w:rPr>
        <w:rFonts w:ascii="Segoe UI Semibold" w:hAnsi="Segoe UI Semibold" w:cs="Segoe UI Semibold"/>
        <w:b w:val="0"/>
        <w:sz w:val="18"/>
        <w:szCs w:val="18"/>
      </w:rPr>
    </w:pPr>
    <w:r w:rsidRPr="003A0758">
      <w:rPr>
        <w:rFonts w:ascii="Segoe UI Semibold" w:hAnsi="Segoe UI Semibold" w:cs="Segoe UI Semibold"/>
        <w:b w:val="0"/>
        <w:sz w:val="18"/>
        <w:szCs w:val="18"/>
      </w:rPr>
      <w:t xml:space="preserve">Page </w:t>
    </w:r>
    <w:r w:rsidRPr="003A0758">
      <w:rPr>
        <w:rFonts w:ascii="Segoe UI Semibold" w:hAnsi="Segoe UI Semibold" w:cs="Segoe UI Semibold"/>
        <w:b w:val="0"/>
        <w:bCs/>
        <w:sz w:val="18"/>
        <w:szCs w:val="18"/>
      </w:rPr>
      <w:fldChar w:fldCharType="begin"/>
    </w:r>
    <w:r w:rsidRPr="003A0758">
      <w:rPr>
        <w:rFonts w:ascii="Segoe UI Semibold" w:hAnsi="Segoe UI Semibold" w:cs="Segoe UI Semibold"/>
        <w:b w:val="0"/>
        <w:bCs/>
        <w:sz w:val="18"/>
        <w:szCs w:val="18"/>
      </w:rPr>
      <w:instrText xml:space="preserve"> PAGE  \* Arabic  \* MERGEFORMAT </w:instrText>
    </w:r>
    <w:r w:rsidRPr="003A0758">
      <w:rPr>
        <w:rFonts w:ascii="Segoe UI Semibold" w:hAnsi="Segoe UI Semibold" w:cs="Segoe UI Semibold"/>
        <w:b w:val="0"/>
        <w:bCs/>
        <w:sz w:val="18"/>
        <w:szCs w:val="18"/>
      </w:rPr>
      <w:fldChar w:fldCharType="separate"/>
    </w:r>
    <w:r w:rsidR="006F7C49">
      <w:rPr>
        <w:rFonts w:ascii="Segoe UI Semibold" w:hAnsi="Segoe UI Semibold" w:cs="Segoe UI Semibold"/>
        <w:b w:val="0"/>
        <w:bCs/>
        <w:noProof/>
        <w:sz w:val="18"/>
        <w:szCs w:val="18"/>
      </w:rPr>
      <w:t>3</w:t>
    </w:r>
    <w:r w:rsidRPr="003A0758">
      <w:rPr>
        <w:rFonts w:ascii="Segoe UI Semibold" w:hAnsi="Segoe UI Semibold" w:cs="Segoe UI Semibold"/>
        <w:b w:val="0"/>
        <w:bCs/>
        <w:sz w:val="18"/>
        <w:szCs w:val="18"/>
      </w:rPr>
      <w:fldChar w:fldCharType="end"/>
    </w:r>
    <w:r w:rsidRPr="003A0758">
      <w:rPr>
        <w:rFonts w:ascii="Segoe UI Semibold" w:hAnsi="Segoe UI Semibold" w:cs="Segoe UI Semibold"/>
        <w:b w:val="0"/>
        <w:sz w:val="18"/>
        <w:szCs w:val="18"/>
      </w:rPr>
      <w:t xml:space="preserve"> of </w:t>
    </w:r>
    <w:r w:rsidRPr="003A0758">
      <w:rPr>
        <w:rFonts w:ascii="Segoe UI Semibold" w:hAnsi="Segoe UI Semibold" w:cs="Segoe UI Semibold"/>
        <w:b w:val="0"/>
        <w:bCs/>
        <w:sz w:val="18"/>
        <w:szCs w:val="18"/>
      </w:rPr>
      <w:fldChar w:fldCharType="begin"/>
    </w:r>
    <w:r w:rsidRPr="003A0758">
      <w:rPr>
        <w:rFonts w:ascii="Segoe UI Semibold" w:hAnsi="Segoe UI Semibold" w:cs="Segoe UI Semibold"/>
        <w:b w:val="0"/>
        <w:bCs/>
        <w:sz w:val="18"/>
        <w:szCs w:val="18"/>
      </w:rPr>
      <w:instrText xml:space="preserve"> NUMPAGES  \* Arabic  \* MERGEFORMAT </w:instrText>
    </w:r>
    <w:r w:rsidRPr="003A0758">
      <w:rPr>
        <w:rFonts w:ascii="Segoe UI Semibold" w:hAnsi="Segoe UI Semibold" w:cs="Segoe UI Semibold"/>
        <w:b w:val="0"/>
        <w:bCs/>
        <w:sz w:val="18"/>
        <w:szCs w:val="18"/>
      </w:rPr>
      <w:fldChar w:fldCharType="separate"/>
    </w:r>
    <w:r w:rsidR="006F7C49">
      <w:rPr>
        <w:rFonts w:ascii="Segoe UI Semibold" w:hAnsi="Segoe UI Semibold" w:cs="Segoe UI Semibold"/>
        <w:b w:val="0"/>
        <w:bCs/>
        <w:noProof/>
        <w:sz w:val="18"/>
        <w:szCs w:val="18"/>
      </w:rPr>
      <w:t>3</w:t>
    </w:r>
    <w:r w:rsidRPr="003A0758">
      <w:rPr>
        <w:rFonts w:ascii="Segoe UI Semibold" w:hAnsi="Segoe UI Semibold" w:cs="Segoe UI Semibold"/>
        <w:b w:val="0"/>
        <w:bCs/>
        <w:sz w:val="18"/>
        <w:szCs w:val="18"/>
      </w:rPr>
      <w:fldChar w:fldCharType="end"/>
    </w:r>
    <w:r w:rsidRPr="003A0758">
      <w:rPr>
        <w:rFonts w:ascii="Segoe UI Semibold" w:hAnsi="Segoe UI Semibold" w:cs="Segoe UI Semibold"/>
        <w:b w:val="0"/>
        <w:sz w:val="18"/>
        <w:szCs w:val="18"/>
      </w:rPr>
      <w:ptab w:relativeTo="margin" w:alignment="center" w:leader="none"/>
    </w:r>
    <w:r w:rsidRPr="003A0758">
      <w:rPr>
        <w:rFonts w:ascii="Segoe UI Semibold" w:hAnsi="Segoe UI Semibold" w:cs="Segoe UI Semibold"/>
        <w:b w:val="0"/>
        <w:sz w:val="18"/>
        <w:szCs w:val="18"/>
      </w:rPr>
      <w:t>SGH Director and Officer Share Ownership Retention Policy</w:t>
    </w:r>
    <w:r w:rsidRPr="003A0758">
      <w:rPr>
        <w:rFonts w:ascii="Segoe UI Semibold" w:hAnsi="Segoe UI Semibold" w:cs="Segoe UI Semibold"/>
        <w:b w:val="0"/>
        <w:sz w:val="18"/>
        <w:szCs w:val="18"/>
      </w:rPr>
      <w:ptab w:relativeTo="margin" w:alignment="right" w:leader="none"/>
    </w:r>
    <w:r w:rsidRPr="003A0758">
      <w:rPr>
        <w:rFonts w:ascii="Segoe UI Semibold" w:hAnsi="Segoe UI Semibold" w:cs="Segoe UI Semibold"/>
        <w:b w:val="0"/>
        <w:sz w:val="18"/>
        <w:szCs w:val="18"/>
      </w:rPr>
      <w:t xml:space="preserve">Rev. </w:t>
    </w:r>
    <w:r w:rsidR="003C1BD4">
      <w:rPr>
        <w:rFonts w:ascii="Segoe UI Semibold" w:hAnsi="Segoe UI Semibold" w:cs="Segoe UI Semibold"/>
        <w:b w:val="0"/>
        <w:sz w:val="18"/>
        <w:szCs w:val="18"/>
      </w:rPr>
      <w:t>September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F3257" w14:textId="702CC5D7" w:rsidR="00C87FB7" w:rsidRPr="003A0758" w:rsidRDefault="00E0747C" w:rsidP="00E0747C">
    <w:pPr>
      <w:pStyle w:val="Footer"/>
      <w:rPr>
        <w:rFonts w:ascii="Segoe UI Semibold" w:hAnsi="Segoe UI Semibold" w:cs="Segoe UI Semibold"/>
        <w:b w:val="0"/>
        <w:sz w:val="18"/>
        <w:szCs w:val="18"/>
      </w:rPr>
    </w:pPr>
    <w:r w:rsidRPr="003A0758">
      <w:rPr>
        <w:rFonts w:ascii="Segoe UI Semibold" w:hAnsi="Segoe UI Semibold" w:cs="Segoe UI Semibold"/>
        <w:b w:val="0"/>
        <w:sz w:val="18"/>
        <w:szCs w:val="18"/>
      </w:rPr>
      <w:t xml:space="preserve">Page </w:t>
    </w:r>
    <w:r w:rsidRPr="003A0758">
      <w:rPr>
        <w:rFonts w:ascii="Segoe UI Semibold" w:hAnsi="Segoe UI Semibold" w:cs="Segoe UI Semibold"/>
        <w:b w:val="0"/>
        <w:bCs/>
        <w:sz w:val="18"/>
        <w:szCs w:val="18"/>
      </w:rPr>
      <w:fldChar w:fldCharType="begin"/>
    </w:r>
    <w:r w:rsidRPr="003A0758">
      <w:rPr>
        <w:rFonts w:ascii="Segoe UI Semibold" w:hAnsi="Segoe UI Semibold" w:cs="Segoe UI Semibold"/>
        <w:b w:val="0"/>
        <w:bCs/>
        <w:sz w:val="18"/>
        <w:szCs w:val="18"/>
      </w:rPr>
      <w:instrText xml:space="preserve"> PAGE  \* Arabic  \* MERGEFORMAT </w:instrText>
    </w:r>
    <w:r w:rsidRPr="003A0758">
      <w:rPr>
        <w:rFonts w:ascii="Segoe UI Semibold" w:hAnsi="Segoe UI Semibold" w:cs="Segoe UI Semibold"/>
        <w:b w:val="0"/>
        <w:bCs/>
        <w:sz w:val="18"/>
        <w:szCs w:val="18"/>
      </w:rPr>
      <w:fldChar w:fldCharType="separate"/>
    </w:r>
    <w:r w:rsidR="006F7C49">
      <w:rPr>
        <w:rFonts w:ascii="Segoe UI Semibold" w:hAnsi="Segoe UI Semibold" w:cs="Segoe UI Semibold"/>
        <w:b w:val="0"/>
        <w:bCs/>
        <w:noProof/>
        <w:sz w:val="18"/>
        <w:szCs w:val="18"/>
      </w:rPr>
      <w:t>1</w:t>
    </w:r>
    <w:r w:rsidRPr="003A0758">
      <w:rPr>
        <w:rFonts w:ascii="Segoe UI Semibold" w:hAnsi="Segoe UI Semibold" w:cs="Segoe UI Semibold"/>
        <w:b w:val="0"/>
        <w:bCs/>
        <w:sz w:val="18"/>
        <w:szCs w:val="18"/>
      </w:rPr>
      <w:fldChar w:fldCharType="end"/>
    </w:r>
    <w:r w:rsidRPr="003A0758">
      <w:rPr>
        <w:rFonts w:ascii="Segoe UI Semibold" w:hAnsi="Segoe UI Semibold" w:cs="Segoe UI Semibold"/>
        <w:b w:val="0"/>
        <w:sz w:val="18"/>
        <w:szCs w:val="18"/>
      </w:rPr>
      <w:t xml:space="preserve"> of </w:t>
    </w:r>
    <w:r w:rsidRPr="003A0758">
      <w:rPr>
        <w:rFonts w:ascii="Segoe UI Semibold" w:hAnsi="Segoe UI Semibold" w:cs="Segoe UI Semibold"/>
        <w:b w:val="0"/>
        <w:bCs/>
        <w:sz w:val="18"/>
        <w:szCs w:val="18"/>
      </w:rPr>
      <w:fldChar w:fldCharType="begin"/>
    </w:r>
    <w:r w:rsidRPr="003A0758">
      <w:rPr>
        <w:rFonts w:ascii="Segoe UI Semibold" w:hAnsi="Segoe UI Semibold" w:cs="Segoe UI Semibold"/>
        <w:b w:val="0"/>
        <w:bCs/>
        <w:sz w:val="18"/>
        <w:szCs w:val="18"/>
      </w:rPr>
      <w:instrText xml:space="preserve"> NUMPAGES  \* Arabic  \* MERGEFORMAT </w:instrText>
    </w:r>
    <w:r w:rsidRPr="003A0758">
      <w:rPr>
        <w:rFonts w:ascii="Segoe UI Semibold" w:hAnsi="Segoe UI Semibold" w:cs="Segoe UI Semibold"/>
        <w:b w:val="0"/>
        <w:bCs/>
        <w:sz w:val="18"/>
        <w:szCs w:val="18"/>
      </w:rPr>
      <w:fldChar w:fldCharType="separate"/>
    </w:r>
    <w:r w:rsidR="006F7C49">
      <w:rPr>
        <w:rFonts w:ascii="Segoe UI Semibold" w:hAnsi="Segoe UI Semibold" w:cs="Segoe UI Semibold"/>
        <w:b w:val="0"/>
        <w:bCs/>
        <w:noProof/>
        <w:sz w:val="18"/>
        <w:szCs w:val="18"/>
      </w:rPr>
      <w:t>3</w:t>
    </w:r>
    <w:r w:rsidRPr="003A0758">
      <w:rPr>
        <w:rFonts w:ascii="Segoe UI Semibold" w:hAnsi="Segoe UI Semibold" w:cs="Segoe UI Semibold"/>
        <w:b w:val="0"/>
        <w:bCs/>
        <w:sz w:val="18"/>
        <w:szCs w:val="18"/>
      </w:rPr>
      <w:fldChar w:fldCharType="end"/>
    </w:r>
    <w:r w:rsidRPr="003A0758">
      <w:rPr>
        <w:rFonts w:ascii="Segoe UI Semibold" w:hAnsi="Segoe UI Semibold" w:cs="Segoe UI Semibold"/>
        <w:b w:val="0"/>
        <w:sz w:val="18"/>
        <w:szCs w:val="18"/>
      </w:rPr>
      <w:ptab w:relativeTo="margin" w:alignment="center" w:leader="none"/>
    </w:r>
    <w:r w:rsidRPr="003A0758">
      <w:rPr>
        <w:rFonts w:ascii="Segoe UI Semibold" w:hAnsi="Segoe UI Semibold" w:cs="Segoe UI Semibold"/>
        <w:b w:val="0"/>
        <w:sz w:val="18"/>
        <w:szCs w:val="18"/>
      </w:rPr>
      <w:t>SGH Director and Officer Share Ownership Retention Policy</w:t>
    </w:r>
    <w:r w:rsidRPr="003A0758">
      <w:rPr>
        <w:rFonts w:ascii="Segoe UI Semibold" w:hAnsi="Segoe UI Semibold" w:cs="Segoe UI Semibold"/>
        <w:b w:val="0"/>
        <w:sz w:val="18"/>
        <w:szCs w:val="18"/>
      </w:rPr>
      <w:ptab w:relativeTo="margin" w:alignment="right" w:leader="none"/>
    </w:r>
    <w:r w:rsidRPr="003A0758">
      <w:rPr>
        <w:rFonts w:ascii="Segoe UI Semibold" w:hAnsi="Segoe UI Semibold" w:cs="Segoe UI Semibold"/>
        <w:b w:val="0"/>
        <w:sz w:val="18"/>
        <w:szCs w:val="18"/>
      </w:rPr>
      <w:t xml:space="preserve">Rev. </w:t>
    </w:r>
    <w:r w:rsidR="003C1BD4">
      <w:rPr>
        <w:rFonts w:ascii="Segoe UI Semibold" w:hAnsi="Segoe UI Semibold" w:cs="Segoe UI Semibold"/>
        <w:b w:val="0"/>
        <w:sz w:val="18"/>
        <w:szCs w:val="18"/>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3E6BD" w14:textId="77777777" w:rsidR="000333E4" w:rsidRDefault="000333E4" w:rsidP="00E94B23">
      <w:r>
        <w:separator/>
      </w:r>
    </w:p>
    <w:p w14:paraId="67D7BE3E" w14:textId="77777777" w:rsidR="000333E4" w:rsidRDefault="000333E4"/>
  </w:footnote>
  <w:footnote w:type="continuationSeparator" w:id="0">
    <w:p w14:paraId="522729E8" w14:textId="77777777" w:rsidR="000333E4" w:rsidRDefault="000333E4" w:rsidP="00E94B23">
      <w:r>
        <w:continuationSeparator/>
      </w:r>
    </w:p>
    <w:p w14:paraId="437F8A3D" w14:textId="77777777" w:rsidR="000333E4" w:rsidRDefault="000333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811F5" w14:textId="77777777" w:rsidR="00BF49BA" w:rsidRDefault="00DA0E4B" w:rsidP="00BE5788">
    <w:pPr>
      <w:pStyle w:val="Header"/>
      <w:jc w:val="right"/>
    </w:pPr>
    <w:r w:rsidRPr="00DA0E4B">
      <w:rPr>
        <w:noProof/>
      </w:rPr>
      <w:drawing>
        <wp:anchor distT="0" distB="0" distL="114300" distR="114300" simplePos="0" relativeHeight="251657215" behindDoc="0" locked="0" layoutInCell="1" allowOverlap="1" wp14:anchorId="44324A64" wp14:editId="585CC833">
          <wp:simplePos x="0" y="0"/>
          <wp:positionH relativeFrom="page">
            <wp:posOffset>0</wp:posOffset>
          </wp:positionH>
          <wp:positionV relativeFrom="page">
            <wp:posOffset>0</wp:posOffset>
          </wp:positionV>
          <wp:extent cx="7772400" cy="1371600"/>
          <wp:effectExtent l="0" t="0" r="0" b="0"/>
          <wp:wrapNone/>
          <wp:docPr id="3" name="Graphic">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r w:rsidR="00BE5788" w:rsidRPr="002479FF">
      <w:rPr>
        <w:noProof/>
      </w:rPr>
      <w:drawing>
        <wp:anchor distT="0" distB="0" distL="114300" distR="114300" simplePos="0" relativeHeight="251658240" behindDoc="0" locked="0" layoutInCell="1" allowOverlap="1" wp14:anchorId="7A793F9D" wp14:editId="188A6A3D">
          <wp:simplePos x="0" y="0"/>
          <wp:positionH relativeFrom="page">
            <wp:posOffset>267335</wp:posOffset>
          </wp:positionH>
          <wp:positionV relativeFrom="page">
            <wp:posOffset>263057</wp:posOffset>
          </wp:positionV>
          <wp:extent cx="1536065" cy="777240"/>
          <wp:effectExtent l="0" t="0" r="0" b="0"/>
          <wp:wrapNone/>
          <wp:docPr id="4" name="SGH Logo" descr="S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H Logo" descr="SGH"/>
                  <pic:cNvPicPr/>
                </pic:nvPicPr>
                <pic:blipFill>
                  <a:blip r:embed="rId2">
                    <a:extLst>
                      <a:ext uri="{28A0092B-C50C-407E-A947-70E740481C1C}">
                        <a14:useLocalDpi xmlns:a14="http://schemas.microsoft.com/office/drawing/2010/main" val="0"/>
                      </a:ext>
                    </a:extLst>
                  </a:blip>
                  <a:stretch>
                    <a:fillRect/>
                  </a:stretch>
                </pic:blipFill>
                <pic:spPr>
                  <a:xfrm>
                    <a:off x="0" y="0"/>
                    <a:ext cx="1536065" cy="7772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019"/>
    <w:multiLevelType w:val="multilevel"/>
    <w:tmpl w:val="2FD2E8D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ascii="Times New Roman" w:hAnsi="Times New Roman" w:hint="default"/>
        <w:b w:val="0"/>
        <w:i w:val="0"/>
        <w:sz w:val="20"/>
      </w:rPr>
    </w:lvl>
    <w:lvl w:ilvl="4">
      <w:start w:val="1"/>
      <w:numFmt w:val="decimal"/>
      <w:pStyle w:val="Heading5"/>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FC5573B"/>
    <w:multiLevelType w:val="hybridMultilevel"/>
    <w:tmpl w:val="705A9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C73FC0"/>
    <w:multiLevelType w:val="multilevel"/>
    <w:tmpl w:val="BD003F18"/>
    <w:lvl w:ilvl="0">
      <w:start w:val="1"/>
      <w:numFmt w:val="decimal"/>
      <w:pStyle w:val="Numb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216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8E7A81"/>
    <w:multiLevelType w:val="multilevel"/>
    <w:tmpl w:val="C316D112"/>
    <w:lvl w:ilvl="0">
      <w:start w:val="1"/>
      <w:numFmt w:val="bullet"/>
      <w:lvlText w:val="•"/>
      <w:lvlJc w:val="left"/>
      <w:pPr>
        <w:ind w:left="216" w:hanging="216"/>
      </w:pPr>
      <w:rPr>
        <w:rFonts w:ascii="Arial" w:hAnsi="Arial" w:hint="default"/>
      </w:rPr>
    </w:lvl>
    <w:lvl w:ilvl="1">
      <w:start w:val="1"/>
      <w:numFmt w:val="bullet"/>
      <w:lvlText w:val="–"/>
      <w:lvlJc w:val="left"/>
      <w:pPr>
        <w:ind w:left="432" w:hanging="216"/>
      </w:pPr>
      <w:rPr>
        <w:rFonts w:ascii="Verdana" w:hAnsi="Verdana" w:hint="default"/>
      </w:rPr>
    </w:lvl>
    <w:lvl w:ilvl="2">
      <w:start w:val="1"/>
      <w:numFmt w:val="bullet"/>
      <w:lvlText w:val="–"/>
      <w:lvlJc w:val="left"/>
      <w:pPr>
        <w:ind w:left="648" w:hanging="216"/>
      </w:pPr>
      <w:rPr>
        <w:rFonts w:ascii="Verdana" w:hAnsi="Verdana" w:hint="default"/>
      </w:rPr>
    </w:lvl>
    <w:lvl w:ilvl="3">
      <w:start w:val="1"/>
      <w:numFmt w:val="bullet"/>
      <w:lvlText w:val="–"/>
      <w:lvlJc w:val="left"/>
      <w:pPr>
        <w:ind w:left="864" w:hanging="216"/>
      </w:pPr>
      <w:rPr>
        <w:rFonts w:ascii="Verdana" w:hAnsi="Verdana" w:hint="default"/>
      </w:rPr>
    </w:lvl>
    <w:lvl w:ilvl="4">
      <w:start w:val="1"/>
      <w:numFmt w:val="bullet"/>
      <w:lvlText w:val="–"/>
      <w:lvlJc w:val="left"/>
      <w:pPr>
        <w:ind w:left="1080" w:hanging="216"/>
      </w:pPr>
      <w:rPr>
        <w:rFonts w:ascii="Verdana" w:hAnsi="Verdana" w:hint="default"/>
      </w:rPr>
    </w:lvl>
    <w:lvl w:ilvl="5">
      <w:start w:val="1"/>
      <w:numFmt w:val="bullet"/>
      <w:lvlText w:val="–"/>
      <w:lvlJc w:val="left"/>
      <w:pPr>
        <w:ind w:left="1296" w:hanging="216"/>
      </w:pPr>
      <w:rPr>
        <w:rFonts w:ascii="Verdana" w:hAnsi="Verdana" w:hint="default"/>
      </w:rPr>
    </w:lvl>
    <w:lvl w:ilvl="6">
      <w:start w:val="1"/>
      <w:numFmt w:val="bullet"/>
      <w:lvlText w:val="–"/>
      <w:lvlJc w:val="left"/>
      <w:pPr>
        <w:ind w:left="1512" w:hanging="216"/>
      </w:pPr>
      <w:rPr>
        <w:rFonts w:ascii="Verdana" w:hAnsi="Verdana" w:hint="default"/>
      </w:rPr>
    </w:lvl>
    <w:lvl w:ilvl="7">
      <w:start w:val="1"/>
      <w:numFmt w:val="bullet"/>
      <w:lvlText w:val="–"/>
      <w:lvlJc w:val="left"/>
      <w:pPr>
        <w:ind w:left="1728" w:hanging="216"/>
      </w:pPr>
      <w:rPr>
        <w:rFonts w:ascii="Verdana" w:hAnsi="Verdana" w:hint="default"/>
      </w:rPr>
    </w:lvl>
    <w:lvl w:ilvl="8">
      <w:start w:val="1"/>
      <w:numFmt w:val="bullet"/>
      <w:lvlText w:val="–"/>
      <w:lvlJc w:val="left"/>
      <w:pPr>
        <w:ind w:left="1944" w:hanging="216"/>
      </w:pPr>
      <w:rPr>
        <w:rFonts w:ascii="Verdana" w:hAnsi="Verdana" w:hint="default"/>
      </w:rPr>
    </w:lvl>
  </w:abstractNum>
  <w:abstractNum w:abstractNumId="4" w15:restartNumberingAfterBreak="0">
    <w:nsid w:val="4EAE2304"/>
    <w:multiLevelType w:val="multilevel"/>
    <w:tmpl w:val="4DA4DE1C"/>
    <w:lvl w:ilvl="0">
      <w:start w:val="1"/>
      <w:numFmt w:val="bullet"/>
      <w:pStyle w:val="Bullets"/>
      <w:lvlText w:val="•"/>
      <w:lvlJc w:val="left"/>
      <w:pPr>
        <w:ind w:left="216" w:hanging="216"/>
      </w:pPr>
      <w:rPr>
        <w:rFonts w:ascii="Arial" w:hAnsi="Arial" w:hint="default"/>
      </w:rPr>
    </w:lvl>
    <w:lvl w:ilvl="1">
      <w:start w:val="1"/>
      <w:numFmt w:val="bullet"/>
      <w:lvlText w:val="–"/>
      <w:lvlJc w:val="left"/>
      <w:pPr>
        <w:ind w:left="432" w:hanging="216"/>
      </w:pPr>
      <w:rPr>
        <w:rFonts w:ascii="Arial" w:hAnsi="Arial" w:hint="default"/>
      </w:rPr>
    </w:lvl>
    <w:lvl w:ilvl="2">
      <w:start w:val="1"/>
      <w:numFmt w:val="bullet"/>
      <w:lvlText w:val="–"/>
      <w:lvlJc w:val="left"/>
      <w:pPr>
        <w:ind w:left="648" w:hanging="216"/>
      </w:pPr>
      <w:rPr>
        <w:rFonts w:ascii="Arial" w:hAnsi="Arial" w:hint="default"/>
      </w:rPr>
    </w:lvl>
    <w:lvl w:ilvl="3">
      <w:start w:val="1"/>
      <w:numFmt w:val="bullet"/>
      <w:lvlText w:val="–"/>
      <w:lvlJc w:val="left"/>
      <w:pPr>
        <w:ind w:left="864" w:hanging="216"/>
      </w:pPr>
      <w:rPr>
        <w:rFonts w:ascii="Arial" w:hAnsi="Arial" w:hint="default"/>
      </w:rPr>
    </w:lvl>
    <w:lvl w:ilvl="4">
      <w:start w:val="1"/>
      <w:numFmt w:val="bullet"/>
      <w:lvlText w:val="–"/>
      <w:lvlJc w:val="left"/>
      <w:pPr>
        <w:ind w:left="1080" w:hanging="216"/>
      </w:pPr>
      <w:rPr>
        <w:rFonts w:ascii="Arial" w:hAnsi="Arial" w:hint="default"/>
      </w:rPr>
    </w:lvl>
    <w:lvl w:ilvl="5">
      <w:start w:val="1"/>
      <w:numFmt w:val="bullet"/>
      <w:lvlText w:val="–"/>
      <w:lvlJc w:val="left"/>
      <w:pPr>
        <w:ind w:left="1296" w:hanging="216"/>
      </w:pPr>
      <w:rPr>
        <w:rFonts w:ascii="Arial" w:hAnsi="Arial" w:hint="default"/>
      </w:rPr>
    </w:lvl>
    <w:lvl w:ilvl="6">
      <w:start w:val="1"/>
      <w:numFmt w:val="bullet"/>
      <w:lvlText w:val="–"/>
      <w:lvlJc w:val="left"/>
      <w:pPr>
        <w:ind w:left="1512" w:hanging="216"/>
      </w:pPr>
      <w:rPr>
        <w:rFonts w:ascii="Arial" w:hAnsi="Arial" w:hint="default"/>
      </w:rPr>
    </w:lvl>
    <w:lvl w:ilvl="7">
      <w:start w:val="1"/>
      <w:numFmt w:val="bullet"/>
      <w:lvlText w:val="–"/>
      <w:lvlJc w:val="left"/>
      <w:pPr>
        <w:tabs>
          <w:tab w:val="num" w:pos="2160"/>
        </w:tabs>
        <w:ind w:left="1728" w:hanging="216"/>
      </w:pPr>
      <w:rPr>
        <w:rFonts w:ascii="Arial" w:hAnsi="Arial" w:hint="default"/>
      </w:rPr>
    </w:lvl>
    <w:lvl w:ilvl="8">
      <w:start w:val="1"/>
      <w:numFmt w:val="bullet"/>
      <w:lvlText w:val="–"/>
      <w:lvlJc w:val="left"/>
      <w:pPr>
        <w:tabs>
          <w:tab w:val="num" w:pos="17280"/>
        </w:tabs>
        <w:ind w:left="1944" w:hanging="216"/>
      </w:pPr>
      <w:rPr>
        <w:rFonts w:ascii="Arial" w:hAnsi="Arial" w:hint="default"/>
      </w:rPr>
    </w:lvl>
  </w:abstractNum>
  <w:abstractNum w:abstractNumId="5" w15:restartNumberingAfterBreak="0">
    <w:nsid w:val="513223A9"/>
    <w:multiLevelType w:val="hybridMultilevel"/>
    <w:tmpl w:val="8342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112092"/>
    <w:multiLevelType w:val="multilevel"/>
    <w:tmpl w:val="D2F21C74"/>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72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216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iler" w:val="none"/>
  </w:docVars>
  <w:rsids>
    <w:rsidRoot w:val="00E0747C"/>
    <w:rsid w:val="00000318"/>
    <w:rsid w:val="000070BB"/>
    <w:rsid w:val="00021840"/>
    <w:rsid w:val="0002418D"/>
    <w:rsid w:val="000333E4"/>
    <w:rsid w:val="0004243B"/>
    <w:rsid w:val="000528CF"/>
    <w:rsid w:val="00055D12"/>
    <w:rsid w:val="000A684C"/>
    <w:rsid w:val="000C1091"/>
    <w:rsid w:val="000C65FD"/>
    <w:rsid w:val="000D415F"/>
    <w:rsid w:val="000E2C8F"/>
    <w:rsid w:val="000E407E"/>
    <w:rsid w:val="000E5912"/>
    <w:rsid w:val="000F645E"/>
    <w:rsid w:val="00116174"/>
    <w:rsid w:val="00131198"/>
    <w:rsid w:val="001330E6"/>
    <w:rsid w:val="001459B6"/>
    <w:rsid w:val="0015600A"/>
    <w:rsid w:val="00180C80"/>
    <w:rsid w:val="001A1501"/>
    <w:rsid w:val="001C3C25"/>
    <w:rsid w:val="001C6C49"/>
    <w:rsid w:val="001F0F31"/>
    <w:rsid w:val="00205BEA"/>
    <w:rsid w:val="00223D69"/>
    <w:rsid w:val="002479FF"/>
    <w:rsid w:val="002655B6"/>
    <w:rsid w:val="0027491C"/>
    <w:rsid w:val="00274A09"/>
    <w:rsid w:val="00276F45"/>
    <w:rsid w:val="002836F1"/>
    <w:rsid w:val="0028584C"/>
    <w:rsid w:val="002C28E0"/>
    <w:rsid w:val="002E0E0D"/>
    <w:rsid w:val="002E4AC1"/>
    <w:rsid w:val="003158F5"/>
    <w:rsid w:val="00315CD8"/>
    <w:rsid w:val="003277BF"/>
    <w:rsid w:val="0033664F"/>
    <w:rsid w:val="003401CC"/>
    <w:rsid w:val="00383F90"/>
    <w:rsid w:val="00387BE6"/>
    <w:rsid w:val="003A0758"/>
    <w:rsid w:val="003A27A8"/>
    <w:rsid w:val="003A6006"/>
    <w:rsid w:val="003A612F"/>
    <w:rsid w:val="003B495A"/>
    <w:rsid w:val="003C0F27"/>
    <w:rsid w:val="003C1220"/>
    <w:rsid w:val="003C1BD4"/>
    <w:rsid w:val="003C3E0D"/>
    <w:rsid w:val="003C725C"/>
    <w:rsid w:val="003E30B9"/>
    <w:rsid w:val="00400287"/>
    <w:rsid w:val="00412E0C"/>
    <w:rsid w:val="00412EEA"/>
    <w:rsid w:val="0046461E"/>
    <w:rsid w:val="004711E8"/>
    <w:rsid w:val="004735F1"/>
    <w:rsid w:val="00476C8E"/>
    <w:rsid w:val="0049284C"/>
    <w:rsid w:val="004973F2"/>
    <w:rsid w:val="004C27C2"/>
    <w:rsid w:val="004C40B0"/>
    <w:rsid w:val="004C6F28"/>
    <w:rsid w:val="004D67AD"/>
    <w:rsid w:val="004E2E5D"/>
    <w:rsid w:val="004E3592"/>
    <w:rsid w:val="004F21B0"/>
    <w:rsid w:val="00517272"/>
    <w:rsid w:val="00547316"/>
    <w:rsid w:val="0057126A"/>
    <w:rsid w:val="005752DD"/>
    <w:rsid w:val="005B0B52"/>
    <w:rsid w:val="005D39C9"/>
    <w:rsid w:val="005E7386"/>
    <w:rsid w:val="005F1819"/>
    <w:rsid w:val="005F5684"/>
    <w:rsid w:val="006212E1"/>
    <w:rsid w:val="006313C5"/>
    <w:rsid w:val="006349D3"/>
    <w:rsid w:val="00635698"/>
    <w:rsid w:val="00641BCD"/>
    <w:rsid w:val="00647B21"/>
    <w:rsid w:val="00657E5C"/>
    <w:rsid w:val="006662F1"/>
    <w:rsid w:val="006733E1"/>
    <w:rsid w:val="006761D8"/>
    <w:rsid w:val="00684D8F"/>
    <w:rsid w:val="0069624A"/>
    <w:rsid w:val="006B6B39"/>
    <w:rsid w:val="006B6BFC"/>
    <w:rsid w:val="006E35A8"/>
    <w:rsid w:val="006F0F2C"/>
    <w:rsid w:val="006F7C49"/>
    <w:rsid w:val="0071090B"/>
    <w:rsid w:val="007143C0"/>
    <w:rsid w:val="00720082"/>
    <w:rsid w:val="00751BE6"/>
    <w:rsid w:val="00752F43"/>
    <w:rsid w:val="00766696"/>
    <w:rsid w:val="007668DA"/>
    <w:rsid w:val="00775B0E"/>
    <w:rsid w:val="007A45A2"/>
    <w:rsid w:val="007C5CB6"/>
    <w:rsid w:val="007D723B"/>
    <w:rsid w:val="008007EE"/>
    <w:rsid w:val="00802630"/>
    <w:rsid w:val="00802E13"/>
    <w:rsid w:val="00832716"/>
    <w:rsid w:val="00836AD9"/>
    <w:rsid w:val="008459FF"/>
    <w:rsid w:val="00865876"/>
    <w:rsid w:val="00880CB2"/>
    <w:rsid w:val="00893ED2"/>
    <w:rsid w:val="008B0698"/>
    <w:rsid w:val="008C4B16"/>
    <w:rsid w:val="008D26DA"/>
    <w:rsid w:val="008F0B9E"/>
    <w:rsid w:val="00913C71"/>
    <w:rsid w:val="00915D74"/>
    <w:rsid w:val="0092479D"/>
    <w:rsid w:val="00931070"/>
    <w:rsid w:val="00944BC8"/>
    <w:rsid w:val="00954630"/>
    <w:rsid w:val="0097012C"/>
    <w:rsid w:val="00972223"/>
    <w:rsid w:val="00977223"/>
    <w:rsid w:val="00982C1E"/>
    <w:rsid w:val="0099475A"/>
    <w:rsid w:val="009B6C61"/>
    <w:rsid w:val="009C7FE0"/>
    <w:rsid w:val="009F7CC7"/>
    <w:rsid w:val="00A05AE6"/>
    <w:rsid w:val="00A152A6"/>
    <w:rsid w:val="00A153CA"/>
    <w:rsid w:val="00A22801"/>
    <w:rsid w:val="00A702ED"/>
    <w:rsid w:val="00A741A8"/>
    <w:rsid w:val="00A91667"/>
    <w:rsid w:val="00AA16FB"/>
    <w:rsid w:val="00AA42B5"/>
    <w:rsid w:val="00B01503"/>
    <w:rsid w:val="00B14D86"/>
    <w:rsid w:val="00B31AEF"/>
    <w:rsid w:val="00B50427"/>
    <w:rsid w:val="00B721A9"/>
    <w:rsid w:val="00B90394"/>
    <w:rsid w:val="00B93057"/>
    <w:rsid w:val="00BB12AE"/>
    <w:rsid w:val="00BC7ACD"/>
    <w:rsid w:val="00BE5788"/>
    <w:rsid w:val="00BE6857"/>
    <w:rsid w:val="00BF1BB5"/>
    <w:rsid w:val="00BF49BA"/>
    <w:rsid w:val="00C14821"/>
    <w:rsid w:val="00C223E4"/>
    <w:rsid w:val="00C238A1"/>
    <w:rsid w:val="00C25657"/>
    <w:rsid w:val="00C335DC"/>
    <w:rsid w:val="00C53441"/>
    <w:rsid w:val="00C87FB7"/>
    <w:rsid w:val="00C901FE"/>
    <w:rsid w:val="00CD0011"/>
    <w:rsid w:val="00CD7A49"/>
    <w:rsid w:val="00CE453E"/>
    <w:rsid w:val="00CF066D"/>
    <w:rsid w:val="00D00922"/>
    <w:rsid w:val="00D03D2A"/>
    <w:rsid w:val="00D2689B"/>
    <w:rsid w:val="00D40EE4"/>
    <w:rsid w:val="00D50357"/>
    <w:rsid w:val="00D6388A"/>
    <w:rsid w:val="00D662A7"/>
    <w:rsid w:val="00D7415D"/>
    <w:rsid w:val="00DA0E4B"/>
    <w:rsid w:val="00DA4B9B"/>
    <w:rsid w:val="00DC6E12"/>
    <w:rsid w:val="00DF3E55"/>
    <w:rsid w:val="00E0747C"/>
    <w:rsid w:val="00E42800"/>
    <w:rsid w:val="00E671A4"/>
    <w:rsid w:val="00E94B23"/>
    <w:rsid w:val="00E97468"/>
    <w:rsid w:val="00EB2C88"/>
    <w:rsid w:val="00EB532C"/>
    <w:rsid w:val="00EC602F"/>
    <w:rsid w:val="00EE5DF1"/>
    <w:rsid w:val="00F05527"/>
    <w:rsid w:val="00F07B15"/>
    <w:rsid w:val="00F07C10"/>
    <w:rsid w:val="00F33BF0"/>
    <w:rsid w:val="00F60287"/>
    <w:rsid w:val="00F72934"/>
    <w:rsid w:val="00FC2711"/>
    <w:rsid w:val="00FD3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6DF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47C"/>
    <w:rPr>
      <w:rFonts w:ascii="Times New Roman" w:eastAsia="Times New Roman" w:hAnsi="Times New Roman" w:cs="Times New Roman"/>
      <w:sz w:val="20"/>
      <w:szCs w:val="20"/>
    </w:rPr>
  </w:style>
  <w:style w:type="paragraph" w:styleId="Heading1">
    <w:name w:val="heading 1"/>
    <w:basedOn w:val="Normal"/>
    <w:next w:val="body"/>
    <w:link w:val="Heading1Char"/>
    <w:qFormat/>
    <w:rsid w:val="00E0747C"/>
    <w:pPr>
      <w:keepNext/>
      <w:numPr>
        <w:numId w:val="5"/>
      </w:numPr>
      <w:spacing w:before="240" w:after="60"/>
      <w:outlineLvl w:val="0"/>
    </w:pPr>
    <w:rPr>
      <w:b/>
      <w:caps/>
      <w:kern w:val="28"/>
      <w:sz w:val="24"/>
    </w:rPr>
  </w:style>
  <w:style w:type="paragraph" w:styleId="Heading2">
    <w:name w:val="heading 2"/>
    <w:basedOn w:val="Normal"/>
    <w:next w:val="Normal"/>
    <w:link w:val="Heading2Char"/>
    <w:autoRedefine/>
    <w:qFormat/>
    <w:rsid w:val="00E0747C"/>
    <w:pPr>
      <w:keepNext/>
      <w:numPr>
        <w:ilvl w:val="1"/>
        <w:numId w:val="5"/>
      </w:numPr>
      <w:spacing w:before="120" w:after="60"/>
      <w:jc w:val="both"/>
      <w:outlineLvl w:val="1"/>
    </w:pPr>
    <w:rPr>
      <w:b/>
      <w:sz w:val="22"/>
      <w:szCs w:val="22"/>
    </w:rPr>
  </w:style>
  <w:style w:type="paragraph" w:styleId="Heading3">
    <w:name w:val="heading 3"/>
    <w:basedOn w:val="Normal"/>
    <w:next w:val="Normal"/>
    <w:link w:val="Heading3Char"/>
    <w:qFormat/>
    <w:rsid w:val="00E0747C"/>
    <w:pPr>
      <w:keepNext/>
      <w:numPr>
        <w:ilvl w:val="2"/>
        <w:numId w:val="5"/>
      </w:numPr>
      <w:outlineLvl w:val="2"/>
    </w:pPr>
  </w:style>
  <w:style w:type="paragraph" w:styleId="Heading4">
    <w:name w:val="heading 4"/>
    <w:basedOn w:val="Normal"/>
    <w:next w:val="Normal"/>
    <w:link w:val="Heading4Char"/>
    <w:qFormat/>
    <w:rsid w:val="00E0747C"/>
    <w:pPr>
      <w:keepNext/>
      <w:numPr>
        <w:ilvl w:val="3"/>
        <w:numId w:val="5"/>
      </w:numPr>
      <w:spacing w:before="120" w:line="240" w:lineRule="atLeast"/>
      <w:outlineLvl w:val="3"/>
    </w:pPr>
    <w:rPr>
      <w:bCs/>
    </w:rPr>
  </w:style>
  <w:style w:type="paragraph" w:styleId="Heading5">
    <w:name w:val="heading 5"/>
    <w:basedOn w:val="Normal"/>
    <w:next w:val="Normal"/>
    <w:link w:val="Heading5Char"/>
    <w:qFormat/>
    <w:rsid w:val="00E0747C"/>
    <w:pPr>
      <w:keepNext/>
      <w:numPr>
        <w:ilvl w:val="4"/>
        <w:numId w:val="5"/>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174"/>
  </w:style>
  <w:style w:type="character" w:customStyle="1" w:styleId="HeaderChar">
    <w:name w:val="Header Char"/>
    <w:basedOn w:val="DefaultParagraphFont"/>
    <w:link w:val="Header"/>
    <w:uiPriority w:val="99"/>
    <w:rsid w:val="00116174"/>
    <w:rPr>
      <w:rFonts w:cs="Times New Roman (Body CS)"/>
      <w:sz w:val="22"/>
    </w:rPr>
  </w:style>
  <w:style w:type="paragraph" w:styleId="Footer">
    <w:name w:val="footer"/>
    <w:basedOn w:val="Normal"/>
    <w:link w:val="FooterChar"/>
    <w:uiPriority w:val="99"/>
    <w:unhideWhenUsed/>
    <w:rsid w:val="009F7CC7"/>
    <w:rPr>
      <w:b/>
      <w:sz w:val="16"/>
    </w:rPr>
  </w:style>
  <w:style w:type="character" w:customStyle="1" w:styleId="FooterChar">
    <w:name w:val="Footer Char"/>
    <w:basedOn w:val="DefaultParagraphFont"/>
    <w:link w:val="Footer"/>
    <w:uiPriority w:val="99"/>
    <w:rsid w:val="009F7CC7"/>
    <w:rPr>
      <w:rFonts w:cs="Times New Roman (Body CS)"/>
      <w:b/>
      <w:sz w:val="16"/>
    </w:rPr>
  </w:style>
  <w:style w:type="character" w:styleId="Hyperlink">
    <w:name w:val="Hyperlink"/>
    <w:basedOn w:val="DefaultParagraphFont"/>
    <w:uiPriority w:val="99"/>
    <w:unhideWhenUsed/>
    <w:rsid w:val="00BB12AE"/>
    <w:rPr>
      <w:rFonts w:asciiTheme="minorHAnsi" w:hAnsiTheme="minorHAnsi"/>
      <w:color w:val="auto"/>
      <w:u w:val="none"/>
    </w:rPr>
  </w:style>
  <w:style w:type="character" w:styleId="FollowedHyperlink">
    <w:name w:val="FollowedHyperlink"/>
    <w:basedOn w:val="DefaultParagraphFont"/>
    <w:uiPriority w:val="99"/>
    <w:semiHidden/>
    <w:unhideWhenUsed/>
    <w:rsid w:val="00BB12AE"/>
    <w:rPr>
      <w:rFonts w:asciiTheme="minorHAnsi" w:hAnsiTheme="minorHAnsi"/>
      <w:color w:val="auto"/>
      <w:u w:val="none"/>
    </w:rPr>
  </w:style>
  <w:style w:type="table" w:styleId="TableGrid">
    <w:name w:val="Table Grid"/>
    <w:basedOn w:val="TableNormal"/>
    <w:uiPriority w:val="39"/>
    <w:rsid w:val="004C27C2"/>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paragraph" w:styleId="ListParagraph">
    <w:name w:val="List Paragraph"/>
    <w:basedOn w:val="Normal"/>
    <w:uiPriority w:val="34"/>
    <w:qFormat/>
    <w:rsid w:val="00E671A4"/>
    <w:pPr>
      <w:ind w:left="720"/>
      <w:contextualSpacing/>
    </w:pPr>
  </w:style>
  <w:style w:type="paragraph" w:customStyle="1" w:styleId="Bullets">
    <w:name w:val="Bullets"/>
    <w:basedOn w:val="ListParagraph"/>
    <w:uiPriority w:val="9"/>
    <w:qFormat/>
    <w:rsid w:val="00635698"/>
    <w:pPr>
      <w:numPr>
        <w:numId w:val="3"/>
      </w:numPr>
    </w:pPr>
  </w:style>
  <w:style w:type="paragraph" w:customStyle="1" w:styleId="Numbers">
    <w:name w:val="Numbers"/>
    <w:basedOn w:val="ListParagraph"/>
    <w:uiPriority w:val="9"/>
    <w:qFormat/>
    <w:rsid w:val="00055D12"/>
    <w:pPr>
      <w:numPr>
        <w:numId w:val="4"/>
      </w:numPr>
    </w:pPr>
  </w:style>
  <w:style w:type="character" w:customStyle="1" w:styleId="UnresolvedMention1">
    <w:name w:val="Unresolved Mention1"/>
    <w:basedOn w:val="DefaultParagraphFont"/>
    <w:uiPriority w:val="99"/>
    <w:rsid w:val="00893ED2"/>
    <w:rPr>
      <w:color w:val="605E5C"/>
      <w:shd w:val="clear" w:color="auto" w:fill="E1DFDD"/>
    </w:rPr>
  </w:style>
  <w:style w:type="character" w:customStyle="1" w:styleId="Heading1Char">
    <w:name w:val="Heading 1 Char"/>
    <w:basedOn w:val="DefaultParagraphFont"/>
    <w:link w:val="Heading1"/>
    <w:rsid w:val="00E0747C"/>
    <w:rPr>
      <w:rFonts w:ascii="Times New Roman" w:eastAsia="Times New Roman" w:hAnsi="Times New Roman" w:cs="Times New Roman"/>
      <w:b/>
      <w:caps/>
      <w:kern w:val="28"/>
      <w:szCs w:val="20"/>
    </w:rPr>
  </w:style>
  <w:style w:type="character" w:customStyle="1" w:styleId="Heading2Char">
    <w:name w:val="Heading 2 Char"/>
    <w:basedOn w:val="DefaultParagraphFont"/>
    <w:link w:val="Heading2"/>
    <w:rsid w:val="00E0747C"/>
    <w:rPr>
      <w:rFonts w:ascii="Times New Roman" w:eastAsia="Times New Roman" w:hAnsi="Times New Roman" w:cs="Times New Roman"/>
      <w:b/>
      <w:sz w:val="22"/>
      <w:szCs w:val="22"/>
    </w:rPr>
  </w:style>
  <w:style w:type="character" w:customStyle="1" w:styleId="Heading3Char">
    <w:name w:val="Heading 3 Char"/>
    <w:basedOn w:val="DefaultParagraphFont"/>
    <w:link w:val="Heading3"/>
    <w:rsid w:val="00E0747C"/>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E0747C"/>
    <w:rPr>
      <w:rFonts w:ascii="Times New Roman" w:eastAsia="Times New Roman" w:hAnsi="Times New Roman" w:cs="Times New Roman"/>
      <w:bCs/>
      <w:sz w:val="20"/>
      <w:szCs w:val="20"/>
    </w:rPr>
  </w:style>
  <w:style w:type="character" w:customStyle="1" w:styleId="Heading5Char">
    <w:name w:val="Heading 5 Char"/>
    <w:basedOn w:val="DefaultParagraphFont"/>
    <w:link w:val="Heading5"/>
    <w:rsid w:val="00E0747C"/>
    <w:rPr>
      <w:rFonts w:ascii="Times New Roman" w:eastAsia="Times New Roman" w:hAnsi="Times New Roman" w:cs="Times New Roman"/>
      <w:szCs w:val="20"/>
    </w:rPr>
  </w:style>
  <w:style w:type="paragraph" w:customStyle="1" w:styleId="body">
    <w:name w:val="body"/>
    <w:basedOn w:val="Normal"/>
    <w:rsid w:val="00E0747C"/>
    <w:pPr>
      <w:tabs>
        <w:tab w:val="left" w:pos="720"/>
        <w:tab w:val="left" w:pos="1260"/>
        <w:tab w:val="left" w:pos="1440"/>
        <w:tab w:val="left" w:pos="2070"/>
        <w:tab w:val="left" w:pos="2160"/>
      </w:tabs>
    </w:pPr>
  </w:style>
  <w:style w:type="paragraph" w:styleId="BodyTextIndent3">
    <w:name w:val="Body Text Indent 3"/>
    <w:basedOn w:val="Normal"/>
    <w:link w:val="BodyTextIndent3Char"/>
    <w:rsid w:val="00E0747C"/>
    <w:pPr>
      <w:ind w:left="720"/>
      <w:jc w:val="both"/>
    </w:pPr>
    <w:rPr>
      <w:color w:val="000000"/>
      <w:sz w:val="24"/>
    </w:rPr>
  </w:style>
  <w:style w:type="character" w:customStyle="1" w:styleId="BodyTextIndent3Char">
    <w:name w:val="Body Text Indent 3 Char"/>
    <w:basedOn w:val="DefaultParagraphFont"/>
    <w:link w:val="BodyTextIndent3"/>
    <w:rsid w:val="00E0747C"/>
    <w:rPr>
      <w:rFonts w:ascii="Times New Roman" w:eastAsia="Times New Roman" w:hAnsi="Times New Roman" w:cs="Times New Roman"/>
      <w:color w:val="000000"/>
      <w:szCs w:val="20"/>
    </w:rPr>
  </w:style>
  <w:style w:type="paragraph" w:styleId="Revision">
    <w:name w:val="Revision"/>
    <w:hidden/>
    <w:uiPriority w:val="99"/>
    <w:semiHidden/>
    <w:rsid w:val="002655B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655B6"/>
    <w:rPr>
      <w:sz w:val="16"/>
      <w:szCs w:val="16"/>
    </w:rPr>
  </w:style>
  <w:style w:type="paragraph" w:styleId="CommentText">
    <w:name w:val="annotation text"/>
    <w:basedOn w:val="Normal"/>
    <w:link w:val="CommentTextChar"/>
    <w:uiPriority w:val="99"/>
    <w:semiHidden/>
    <w:unhideWhenUsed/>
    <w:rsid w:val="002655B6"/>
  </w:style>
  <w:style w:type="character" w:customStyle="1" w:styleId="CommentTextChar">
    <w:name w:val="Comment Text Char"/>
    <w:basedOn w:val="DefaultParagraphFont"/>
    <w:link w:val="CommentText"/>
    <w:uiPriority w:val="99"/>
    <w:semiHidden/>
    <w:rsid w:val="002655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5B6"/>
    <w:rPr>
      <w:b/>
      <w:bCs/>
    </w:rPr>
  </w:style>
  <w:style w:type="character" w:customStyle="1" w:styleId="CommentSubjectChar">
    <w:name w:val="Comment Subject Char"/>
    <w:basedOn w:val="CommentTextChar"/>
    <w:link w:val="CommentSubject"/>
    <w:uiPriority w:val="99"/>
    <w:semiHidden/>
    <w:rsid w:val="002655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6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6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752DD"/>
  </w:style>
  <w:style w:type="character" w:customStyle="1" w:styleId="FootnoteTextChar">
    <w:name w:val="Footnote Text Char"/>
    <w:basedOn w:val="DefaultParagraphFont"/>
    <w:link w:val="FootnoteText"/>
    <w:uiPriority w:val="99"/>
    <w:semiHidden/>
    <w:rsid w:val="005752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5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ia.toscano\AppData\Local\Temp\wzfb0b\SGH_Word_Tempate.dotx" TargetMode="External"/></Relationships>
</file>

<file path=word/theme/theme1.xml><?xml version="1.0" encoding="utf-8"?>
<a:theme xmlns:a="http://schemas.openxmlformats.org/drawingml/2006/main" name="SGH">
  <a:themeElements>
    <a:clrScheme name="SGH Colors">
      <a:dk1>
        <a:srgbClr val="000000"/>
      </a:dk1>
      <a:lt1>
        <a:srgbClr val="FFFFFF"/>
      </a:lt1>
      <a:dk2>
        <a:srgbClr val="000000"/>
      </a:dk2>
      <a:lt2>
        <a:srgbClr val="FFFFFF"/>
      </a:lt2>
      <a:accent1>
        <a:srgbClr val="00A4A8"/>
      </a:accent1>
      <a:accent2>
        <a:srgbClr val="FF5351"/>
      </a:accent2>
      <a:accent3>
        <a:srgbClr val="AC0080"/>
      </a:accent3>
      <a:accent4>
        <a:srgbClr val="1A9D67"/>
      </a:accent4>
      <a:accent5>
        <a:srgbClr val="CDBB0B"/>
      </a:accent5>
      <a:accent6>
        <a:srgbClr val="0D323E"/>
      </a:accent6>
      <a:hlink>
        <a:srgbClr val="000000"/>
      </a:hlink>
      <a:folHlink>
        <a:srgbClr val="000000"/>
      </a:folHlink>
    </a:clrScheme>
    <a:fontScheme name="SGH Fonts">
      <a:majorFont>
        <a:latin typeface="Arial"/>
        <a:ea typeface=""/>
        <a:cs typeface=""/>
      </a:majorFont>
      <a:minorFont>
        <a:latin typeface="Arial"/>
        <a:ea typeface=""/>
        <a:cs typeface=""/>
      </a:minorFont>
    </a:fontScheme>
    <a:fmtScheme name="SGH Effects">
      <a:fillStyleLst>
        <a:solidFill>
          <a:schemeClr val="phClr"/>
        </a:solidFill>
        <a:solidFill>
          <a:schemeClr val="phClr"/>
        </a:solidFill>
        <a:solidFill>
          <a:schemeClr val="phClr"/>
        </a:solidFill>
      </a:fillStyleLst>
      <a:lnStyleLst>
        <a:ln w="12700" cap="sq" cmpd="sng" algn="ctr">
          <a:solidFill>
            <a:schemeClr val="phClr"/>
          </a:solidFill>
          <a:prstDash val="solid"/>
          <a:miter lim="800000"/>
        </a:ln>
        <a:ln w="12700" cap="sq" cmpd="sng" algn="ctr">
          <a:solidFill>
            <a:schemeClr val="phClr"/>
          </a:solidFill>
          <a:prstDash val="solid"/>
          <a:miter lim="800000"/>
        </a:ln>
        <a:ln w="12700" cap="sq" cmpd="sng" algn="ctr">
          <a:solidFill>
            <a:schemeClr val="phClr"/>
          </a:solidFill>
          <a:prstDash val="solid"/>
          <a:miter lim="800000"/>
        </a:ln>
      </a:lnStyleLst>
      <a:effectStyleLst>
        <a:effectStyle>
          <a:effectLst/>
        </a:effectStyle>
        <a:effectStyle>
          <a:effectLst/>
        </a:effectStyle>
        <a:effectStyle>
          <a:effectLst>
            <a:outerShdw blurRad="127000" dist="63500" dir="2700000" algn="br" rotWithShape="0">
              <a:srgbClr val="000000">
                <a:alpha val="25000"/>
              </a:srgbClr>
            </a:outerShdw>
          </a:effectLst>
        </a:effectStyle>
      </a:effectStyleLst>
      <a:bgFillStyleLst>
        <a:solidFill>
          <a:schemeClr val="phClr"/>
        </a:solidFill>
        <a:solidFill>
          <a:schemeClr val="phClr"/>
        </a:solidFill>
        <a:solidFill>
          <a:schemeClr val="phClr"/>
        </a:solidFill>
      </a:bgFillStyleLst>
    </a:fmtScheme>
  </a:themeElements>
  <a:objectDefaults>
    <a:spDef>
      <a:spPr>
        <a:ln w="12700" cap="sq">
          <a:miter lim="800000"/>
        </a:ln>
      </a:spPr>
      <a:bodyPr/>
      <a:lstStyle>
        <a:defPPr algn="ctr">
          <a:lnSpc>
            <a:spcPct val="110000"/>
          </a:lnSpc>
          <a:defRPr sz="1000"/>
        </a:defPPr>
      </a:lstStyle>
      <a:style>
        <a:lnRef idx="0">
          <a:schemeClr val="accent1"/>
        </a:lnRef>
        <a:fillRef idx="1">
          <a:schemeClr val="accent1"/>
        </a:fillRef>
        <a:effectRef idx="0">
          <a:srgbClr val="000000"/>
        </a:effectRef>
        <a:fontRef idx="minor">
          <a:schemeClr val="bg1"/>
        </a:fontRef>
      </a:style>
    </a:spDef>
    <a:lnDef>
      <a:spPr>
        <a:ln w="12700" cap="sq">
          <a:miter lim="800000"/>
        </a:ln>
      </a:spPr>
      <a:bodyPr/>
      <a:lstStyle/>
      <a:style>
        <a:lnRef idx="1">
          <a:schemeClr val="accent1"/>
        </a:lnRef>
        <a:fillRef idx="0">
          <a:schemeClr val="accent1"/>
        </a:fillRef>
        <a:effectRef idx="0">
          <a:srgbClr val="000000"/>
        </a:effectRef>
        <a:fontRef idx="minor">
          <a:schemeClr val="bg1"/>
        </a:fontRef>
      </a:style>
    </a:lnDef>
  </a:objectDefaults>
  <a:extraClrSchemeLst/>
  <a:custClrLst>
    <a:custClr name="White">
      <a:srgbClr val="FFFFFF"/>
    </a:custClr>
    <a:custClr name="Black">
      <a:srgbClr val="000000"/>
    </a:custClr>
    <a:custClr>
      <a:srgbClr val="00A4A8"/>
    </a:custClr>
    <a:custClr>
      <a:srgbClr val="FF5351"/>
    </a:custClr>
    <a:custClr>
      <a:srgbClr val="AC0080"/>
    </a:custClr>
    <a:custClr>
      <a:srgbClr val="1A9D67"/>
    </a:custClr>
    <a:custClr>
      <a:srgbClr val="CDBB0B"/>
    </a:custClr>
    <a:custClr>
      <a:srgbClr val="0D323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 U S - D O C S ! 1 4 3 4 8 6 0 5 5 . 2 < / d o c u m e n t i d >  
     < s e n d e r i d > C T O N G < / s e n d e r i d >  
     < s e n d e r e m a i l > C A S E Y . T O N G @ L W . C O M < / s e n d e r e m a i l >  
     < l a s t m o d i f i e d > 2 0 2 3 - 0 8 - 0 7 T 2 0 : 2 4 : 0 0 . 0 0 0 0 0 0 0 - 0 7 : 0 0 < / l a s t m o d i f i e d >  
     < d a t a b a s e > U S - D O C S < / d a t a b a s e >  
 < / p r o p e r t i e s > 
</file>

<file path=customXml/item2.xml><?xml version="1.0" encoding="utf-8"?>
<TrailerData xmlns="https://enterprise.apps.com">H+Jp3KhLPgvjkv/AcDYqmJZD997J2B62q2n+hJO8iyani40wu1SeAsT9yF3oq4yLkL3cDsCUds6eTOlT083IB/nWVSoqhbF6IwkbdHQQ4lueU4g0IiboyyEch7KRRU+6syP1FizhlCYnlc8Q6AhaTjmTpYNheVhaIu9hPTUwrMASmDOQPG7K+rntkNAvwl62FkxOPnSYQUn4nvHF4Uc7lMEDFV2o7+xWu6C6OkhvnJVoDqV6fKw4lLixAv7sCt/GWIBofC1qF05KVGECw6XRNz5N5YyJpNL8PLRPLHmK7CNNbtF991NENUjGZnnVbRJl</Trailer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DB7E8-AE57-4169-8E6D-AD00E24818C9}">
  <ds:schemaRefs>
    <ds:schemaRef ds:uri="http://www.imanage.com/work/xmlschema"/>
  </ds:schemaRefs>
</ds:datastoreItem>
</file>

<file path=customXml/itemProps2.xml><?xml version="1.0" encoding="utf-8"?>
<ds:datastoreItem xmlns:ds="http://schemas.openxmlformats.org/officeDocument/2006/customXml" ds:itemID="{3D120872-0FEA-4BAA-8259-A2C7B41BBFC5}">
  <ds:schemaRefs>
    <ds:schemaRef ds:uri="https://enterprise.apps.com"/>
  </ds:schemaRefs>
</ds:datastoreItem>
</file>

<file path=customXml/itemProps3.xml><?xml version="1.0" encoding="utf-8"?>
<ds:datastoreItem xmlns:ds="http://schemas.openxmlformats.org/officeDocument/2006/customXml" ds:itemID="{437C33CE-86FF-44B4-BBE8-F5A2165E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SGH_Word_Tempate</Template>
  <TotalTime>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SGH</vt:lpstr>
    </vt:vector>
  </TitlesOfParts>
  <Manager/>
  <Company/>
  <LinksUpToDate>false</LinksUpToDate>
  <CharactersWithSpaces>4670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SGH</dc:title>
  <dc:subject/>
  <dc:creator/>
  <cp:keywords/>
  <dc:description/>
  <cp:lastModifiedBy/>
  <cp:revision>1</cp:revision>
  <dcterms:created xsi:type="dcterms:W3CDTF">2023-08-08T17:37:00Z</dcterms:created>
  <dcterms:modified xsi:type="dcterms:W3CDTF">2023-09-27T20:08:00Z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{REF:0712370000}</vt:lpwstr>
  </property>
</Properties>
</file>